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A868A" w14:textId="7BC2C215" w:rsidR="00D062D5" w:rsidRDefault="00D062D5" w:rsidP="00D062D5">
      <w:pPr>
        <w:pStyle w:val="Ingetavstnd"/>
        <w:jc w:val="center"/>
        <w:rPr>
          <w:i/>
          <w:iCs/>
          <w:sz w:val="24"/>
          <w:szCs w:val="24"/>
        </w:rPr>
      </w:pPr>
    </w:p>
    <w:p w14:paraId="0EC08985" w14:textId="06431DF1" w:rsidR="00D062D5" w:rsidRDefault="00D062D5" w:rsidP="00D062D5">
      <w:pPr>
        <w:pStyle w:val="Ingetavstnd"/>
        <w:jc w:val="center"/>
        <w:rPr>
          <w:b/>
          <w:bCs/>
          <w:sz w:val="32"/>
          <w:szCs w:val="32"/>
        </w:rPr>
      </w:pPr>
    </w:p>
    <w:p w14:paraId="57E04FC3" w14:textId="351E1FBA" w:rsidR="00DE5E0F" w:rsidRDefault="00C96BE2" w:rsidP="00D062D5">
      <w:pPr>
        <w:pStyle w:val="Ingetavstnd"/>
        <w:jc w:val="center"/>
        <w:rPr>
          <w:b/>
          <w:bCs/>
          <w:sz w:val="32"/>
          <w:szCs w:val="32"/>
        </w:rPr>
      </w:pPr>
      <w:r w:rsidRPr="00C96BE2">
        <w:rPr>
          <w:noProof/>
          <w:lang w:val="fi-FI" w:eastAsia="fi-FI"/>
        </w:rPr>
        <w:drawing>
          <wp:inline distT="0" distB="0" distL="0" distR="0" wp14:anchorId="5FB3E089" wp14:editId="56AB1147">
            <wp:extent cx="3275937" cy="2049211"/>
            <wp:effectExtent l="0" t="0" r="127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9014" cy="2057391"/>
                    </a:xfrm>
                    <a:prstGeom prst="rect">
                      <a:avLst/>
                    </a:prstGeom>
                  </pic:spPr>
                </pic:pic>
              </a:graphicData>
            </a:graphic>
          </wp:inline>
        </w:drawing>
      </w:r>
    </w:p>
    <w:p w14:paraId="41FCBC59" w14:textId="17D289F6" w:rsidR="00DE5E0F" w:rsidRDefault="00DE5E0F" w:rsidP="00D062D5">
      <w:pPr>
        <w:pStyle w:val="Ingetavstnd"/>
        <w:jc w:val="center"/>
        <w:rPr>
          <w:b/>
          <w:bCs/>
          <w:sz w:val="32"/>
          <w:szCs w:val="32"/>
        </w:rPr>
      </w:pPr>
    </w:p>
    <w:p w14:paraId="03035DDD" w14:textId="77777777" w:rsidR="00DE5E0F" w:rsidRDefault="00DE5E0F" w:rsidP="00D062D5">
      <w:pPr>
        <w:pStyle w:val="Ingetavstnd"/>
        <w:jc w:val="center"/>
        <w:rPr>
          <w:b/>
          <w:bCs/>
          <w:sz w:val="32"/>
          <w:szCs w:val="32"/>
        </w:rPr>
      </w:pPr>
    </w:p>
    <w:p w14:paraId="62F82F16" w14:textId="5174B9C8" w:rsidR="00D062D5" w:rsidRDefault="005245F8" w:rsidP="00D062D5">
      <w:pPr>
        <w:pStyle w:val="Ingetavstnd"/>
        <w:jc w:val="center"/>
        <w:rPr>
          <w:b/>
          <w:bCs/>
          <w:sz w:val="32"/>
          <w:szCs w:val="32"/>
        </w:rPr>
      </w:pPr>
      <w:r>
        <w:rPr>
          <w:b/>
          <w:bCs/>
          <w:sz w:val="32"/>
          <w:szCs w:val="32"/>
        </w:rPr>
        <w:t>Nordic Cit</w:t>
      </w:r>
      <w:r w:rsidR="007712F5">
        <w:rPr>
          <w:b/>
          <w:bCs/>
          <w:sz w:val="32"/>
          <w:szCs w:val="32"/>
        </w:rPr>
        <w:t>ies: Green, Resilient, Healthy</w:t>
      </w:r>
    </w:p>
    <w:p w14:paraId="0CEB34A0" w14:textId="364EA156" w:rsidR="00F96554" w:rsidRDefault="00F96554" w:rsidP="00D062D5">
      <w:pPr>
        <w:pStyle w:val="Ingetavstnd"/>
        <w:jc w:val="center"/>
        <w:rPr>
          <w:b/>
          <w:bCs/>
          <w:sz w:val="32"/>
          <w:szCs w:val="32"/>
        </w:rPr>
      </w:pPr>
      <w:r>
        <w:rPr>
          <w:b/>
          <w:bCs/>
          <w:sz w:val="32"/>
          <w:szCs w:val="32"/>
        </w:rPr>
        <w:t>-</w:t>
      </w:r>
    </w:p>
    <w:p w14:paraId="30814346" w14:textId="5888F981" w:rsidR="005245F8" w:rsidRPr="005245F8" w:rsidRDefault="005B70D8" w:rsidP="00F96554">
      <w:pPr>
        <w:pStyle w:val="Ingetavstnd"/>
        <w:tabs>
          <w:tab w:val="left" w:pos="2127"/>
        </w:tabs>
        <w:jc w:val="center"/>
        <w:rPr>
          <w:b/>
          <w:bCs/>
          <w:i/>
          <w:iCs/>
          <w:sz w:val="32"/>
          <w:szCs w:val="32"/>
        </w:rPr>
      </w:pPr>
      <w:r>
        <w:rPr>
          <w:b/>
          <w:bCs/>
          <w:i/>
          <w:iCs/>
          <w:sz w:val="32"/>
          <w:szCs w:val="32"/>
        </w:rPr>
        <w:t xml:space="preserve">Fostering </w:t>
      </w:r>
      <w:r w:rsidR="005245F8">
        <w:rPr>
          <w:b/>
          <w:bCs/>
          <w:i/>
          <w:iCs/>
          <w:sz w:val="32"/>
          <w:szCs w:val="32"/>
        </w:rPr>
        <w:t>national polic</w:t>
      </w:r>
      <w:r w:rsidR="00F75FD2">
        <w:rPr>
          <w:b/>
          <w:bCs/>
          <w:i/>
          <w:iCs/>
          <w:sz w:val="32"/>
          <w:szCs w:val="32"/>
        </w:rPr>
        <w:t>ies and initiatives</w:t>
      </w:r>
      <w:r w:rsidR="005245F8">
        <w:rPr>
          <w:b/>
          <w:bCs/>
          <w:i/>
          <w:iCs/>
          <w:sz w:val="32"/>
          <w:szCs w:val="32"/>
        </w:rPr>
        <w:t xml:space="preserve"> for urban green space</w:t>
      </w:r>
    </w:p>
    <w:p w14:paraId="56F84AF6" w14:textId="77777777" w:rsidR="00D062D5" w:rsidRDefault="00D062D5" w:rsidP="00D062D5">
      <w:pPr>
        <w:pStyle w:val="Ingetavstnd"/>
        <w:jc w:val="center"/>
        <w:rPr>
          <w:b/>
          <w:bCs/>
          <w:sz w:val="28"/>
          <w:szCs w:val="28"/>
        </w:rPr>
      </w:pPr>
    </w:p>
    <w:p w14:paraId="448BB284" w14:textId="77777777" w:rsidR="00DE5E0F" w:rsidRDefault="00DE5E0F" w:rsidP="00D062D5">
      <w:pPr>
        <w:pStyle w:val="Ingetavstnd"/>
        <w:jc w:val="center"/>
        <w:rPr>
          <w:b/>
          <w:bCs/>
          <w:sz w:val="28"/>
          <w:szCs w:val="28"/>
        </w:rPr>
      </w:pPr>
    </w:p>
    <w:p w14:paraId="74C5C86E" w14:textId="238F1E57" w:rsidR="00D062D5" w:rsidRPr="00D062D5" w:rsidRDefault="00D062D5" w:rsidP="00D062D5">
      <w:pPr>
        <w:pStyle w:val="Ingetavstnd"/>
        <w:jc w:val="center"/>
        <w:rPr>
          <w:b/>
          <w:bCs/>
          <w:sz w:val="28"/>
          <w:szCs w:val="28"/>
        </w:rPr>
      </w:pPr>
      <w:r w:rsidRPr="00D062D5">
        <w:rPr>
          <w:b/>
          <w:bCs/>
          <w:sz w:val="28"/>
          <w:szCs w:val="28"/>
        </w:rPr>
        <w:t xml:space="preserve"> </w:t>
      </w:r>
    </w:p>
    <w:p w14:paraId="50264783" w14:textId="1EDAA0A0" w:rsidR="00C75627" w:rsidRDefault="005B70D8" w:rsidP="00DE5E0F">
      <w:pPr>
        <w:pStyle w:val="Ingetavstnd"/>
        <w:jc w:val="center"/>
        <w:rPr>
          <w:b/>
          <w:bCs/>
          <w:sz w:val="24"/>
          <w:szCs w:val="24"/>
        </w:rPr>
      </w:pPr>
      <w:r>
        <w:rPr>
          <w:b/>
          <w:bCs/>
          <w:sz w:val="24"/>
          <w:szCs w:val="24"/>
        </w:rPr>
        <w:t>4</w:t>
      </w:r>
      <w:r w:rsidRPr="005B70D8">
        <w:rPr>
          <w:b/>
          <w:bCs/>
          <w:sz w:val="24"/>
          <w:szCs w:val="24"/>
          <w:vertAlign w:val="superscript"/>
        </w:rPr>
        <w:t>th</w:t>
      </w:r>
      <w:r>
        <w:rPr>
          <w:b/>
          <w:bCs/>
          <w:sz w:val="24"/>
          <w:szCs w:val="24"/>
        </w:rPr>
        <w:t xml:space="preserve"> </w:t>
      </w:r>
      <w:r w:rsidR="005245F8">
        <w:rPr>
          <w:b/>
          <w:bCs/>
          <w:sz w:val="24"/>
          <w:szCs w:val="24"/>
        </w:rPr>
        <w:t>Draft for the</w:t>
      </w:r>
      <w:r w:rsidR="00C75627">
        <w:rPr>
          <w:b/>
          <w:bCs/>
          <w:sz w:val="24"/>
          <w:szCs w:val="24"/>
        </w:rPr>
        <w:t xml:space="preserve"> Working Group on Sustainable Cities, Nordic Council of Ministers</w:t>
      </w:r>
    </w:p>
    <w:p w14:paraId="7505F4B4" w14:textId="77777777" w:rsidR="00C75627" w:rsidRDefault="00C75627" w:rsidP="00DE5E0F">
      <w:pPr>
        <w:pStyle w:val="Ingetavstnd"/>
        <w:jc w:val="center"/>
        <w:rPr>
          <w:b/>
          <w:bCs/>
          <w:sz w:val="24"/>
          <w:szCs w:val="24"/>
        </w:rPr>
      </w:pPr>
    </w:p>
    <w:p w14:paraId="163C4148" w14:textId="0D4A19D2" w:rsidR="00D062D5" w:rsidRDefault="00D062D5" w:rsidP="00D062D5">
      <w:pPr>
        <w:pStyle w:val="Ingetavstnd"/>
        <w:jc w:val="center"/>
        <w:rPr>
          <w:i/>
          <w:iCs/>
          <w:sz w:val="24"/>
          <w:szCs w:val="24"/>
        </w:rPr>
      </w:pPr>
    </w:p>
    <w:p w14:paraId="6ECD53CB" w14:textId="56149006" w:rsidR="00DE5E0F" w:rsidRDefault="00DE5E0F" w:rsidP="00D062D5">
      <w:pPr>
        <w:pStyle w:val="Ingetavstnd"/>
        <w:jc w:val="center"/>
        <w:rPr>
          <w:i/>
          <w:iCs/>
          <w:sz w:val="24"/>
          <w:szCs w:val="24"/>
        </w:rPr>
      </w:pPr>
    </w:p>
    <w:p w14:paraId="6DE62AFE" w14:textId="320C32EF" w:rsidR="00DE5E0F" w:rsidRDefault="00DE5E0F" w:rsidP="00D062D5">
      <w:pPr>
        <w:pStyle w:val="Ingetavstnd"/>
        <w:jc w:val="center"/>
        <w:rPr>
          <w:i/>
          <w:iCs/>
          <w:sz w:val="24"/>
          <w:szCs w:val="24"/>
        </w:rPr>
      </w:pPr>
    </w:p>
    <w:p w14:paraId="190ABA97" w14:textId="4BA4FC6F" w:rsidR="00DE5E0F" w:rsidRDefault="00DE5E0F" w:rsidP="00D062D5">
      <w:pPr>
        <w:pStyle w:val="Ingetavstnd"/>
        <w:jc w:val="center"/>
        <w:rPr>
          <w:i/>
          <w:iCs/>
          <w:sz w:val="24"/>
          <w:szCs w:val="24"/>
        </w:rPr>
      </w:pPr>
    </w:p>
    <w:p w14:paraId="13751667" w14:textId="0DE92C5C" w:rsidR="00DE5E0F" w:rsidRDefault="00DE5E0F" w:rsidP="00D062D5">
      <w:pPr>
        <w:pStyle w:val="Ingetavstnd"/>
        <w:jc w:val="center"/>
        <w:rPr>
          <w:i/>
          <w:iCs/>
          <w:sz w:val="24"/>
          <w:szCs w:val="24"/>
        </w:rPr>
      </w:pPr>
    </w:p>
    <w:p w14:paraId="45578F14" w14:textId="4B18BAF2" w:rsidR="00DE5E0F" w:rsidRDefault="00DE5E0F" w:rsidP="00D062D5">
      <w:pPr>
        <w:pStyle w:val="Ingetavstnd"/>
        <w:jc w:val="center"/>
        <w:rPr>
          <w:i/>
          <w:iCs/>
          <w:sz w:val="24"/>
          <w:szCs w:val="24"/>
        </w:rPr>
      </w:pPr>
    </w:p>
    <w:p w14:paraId="0EC8B719" w14:textId="4525041C" w:rsidR="00DE5E0F" w:rsidRDefault="00DE5E0F" w:rsidP="00D062D5">
      <w:pPr>
        <w:pStyle w:val="Ingetavstnd"/>
        <w:jc w:val="center"/>
        <w:rPr>
          <w:i/>
          <w:iCs/>
          <w:sz w:val="24"/>
          <w:szCs w:val="24"/>
        </w:rPr>
      </w:pPr>
    </w:p>
    <w:p w14:paraId="381B91B2" w14:textId="14B1263E" w:rsidR="00DE5E0F" w:rsidRDefault="00DE5E0F" w:rsidP="00D062D5">
      <w:pPr>
        <w:pStyle w:val="Ingetavstnd"/>
        <w:jc w:val="center"/>
        <w:rPr>
          <w:i/>
          <w:iCs/>
          <w:sz w:val="24"/>
          <w:szCs w:val="24"/>
        </w:rPr>
      </w:pPr>
    </w:p>
    <w:p w14:paraId="6B14E46C" w14:textId="77777777" w:rsidR="00DE5E0F" w:rsidRPr="00D062D5" w:rsidRDefault="00DE5E0F" w:rsidP="00D062D5">
      <w:pPr>
        <w:pStyle w:val="Ingetavstnd"/>
        <w:jc w:val="center"/>
        <w:rPr>
          <w:i/>
          <w:iCs/>
          <w:sz w:val="24"/>
          <w:szCs w:val="24"/>
        </w:rPr>
      </w:pPr>
    </w:p>
    <w:p w14:paraId="7FCB21D5" w14:textId="55929833" w:rsidR="00D062D5" w:rsidRPr="003E5BAE" w:rsidRDefault="00C96BE2" w:rsidP="00D062D5">
      <w:pPr>
        <w:pStyle w:val="Ingetavstnd"/>
        <w:jc w:val="center"/>
        <w:rPr>
          <w:i/>
          <w:iCs/>
          <w:sz w:val="24"/>
          <w:szCs w:val="24"/>
          <w:lang w:val="en-GB"/>
        </w:rPr>
      </w:pPr>
      <w:r>
        <w:rPr>
          <w:i/>
          <w:iCs/>
          <w:sz w:val="24"/>
          <w:szCs w:val="24"/>
          <w:lang w:val="en-GB"/>
        </w:rPr>
        <w:t xml:space="preserve">Prepared by </w:t>
      </w:r>
      <w:r w:rsidR="00D062D5" w:rsidRPr="003E5BAE">
        <w:rPr>
          <w:i/>
          <w:iCs/>
          <w:sz w:val="24"/>
          <w:szCs w:val="24"/>
          <w:lang w:val="en-GB"/>
        </w:rPr>
        <w:t xml:space="preserve">Prof. Dr Cecil </w:t>
      </w:r>
      <w:proofErr w:type="spellStart"/>
      <w:r w:rsidR="00D062D5" w:rsidRPr="003E5BAE">
        <w:rPr>
          <w:i/>
          <w:iCs/>
          <w:sz w:val="24"/>
          <w:szCs w:val="24"/>
          <w:lang w:val="en-GB"/>
        </w:rPr>
        <w:t>Konijnendijk</w:t>
      </w:r>
      <w:proofErr w:type="spellEnd"/>
    </w:p>
    <w:p w14:paraId="0ED7D46B" w14:textId="77777777" w:rsidR="00D062D5" w:rsidRPr="003E5BAE" w:rsidRDefault="00D062D5" w:rsidP="00D062D5">
      <w:pPr>
        <w:pStyle w:val="Ingetavstnd"/>
        <w:jc w:val="center"/>
        <w:rPr>
          <w:i/>
          <w:iCs/>
          <w:sz w:val="24"/>
          <w:szCs w:val="24"/>
          <w:lang w:val="en-GB"/>
        </w:rPr>
      </w:pPr>
    </w:p>
    <w:p w14:paraId="01EADFA9" w14:textId="2EDDD241" w:rsidR="00D062D5" w:rsidRPr="00D062D5" w:rsidRDefault="00D062D5" w:rsidP="00D062D5">
      <w:pPr>
        <w:pStyle w:val="Ingetavstnd"/>
        <w:jc w:val="center"/>
        <w:rPr>
          <w:i/>
          <w:iCs/>
          <w:sz w:val="24"/>
          <w:szCs w:val="24"/>
        </w:rPr>
      </w:pPr>
      <w:r w:rsidRPr="00D062D5">
        <w:rPr>
          <w:i/>
          <w:iCs/>
          <w:sz w:val="24"/>
          <w:szCs w:val="24"/>
        </w:rPr>
        <w:t>Nature Based Solutions Institute (</w:t>
      </w:r>
      <w:hyperlink r:id="rId9" w:history="1">
        <w:r w:rsidRPr="00D062D5">
          <w:rPr>
            <w:rStyle w:val="Hyperlnk"/>
            <w:i/>
            <w:iCs/>
            <w:sz w:val="24"/>
            <w:szCs w:val="24"/>
          </w:rPr>
          <w:t>http://nbsi.eu</w:t>
        </w:r>
      </w:hyperlink>
      <w:r w:rsidRPr="00D062D5">
        <w:rPr>
          <w:i/>
          <w:iCs/>
          <w:sz w:val="24"/>
          <w:szCs w:val="24"/>
        </w:rPr>
        <w:t>)</w:t>
      </w:r>
    </w:p>
    <w:p w14:paraId="656F913A" w14:textId="042359B5" w:rsidR="00DE5E0F" w:rsidRDefault="00DE5E0F" w:rsidP="00D062D5">
      <w:pPr>
        <w:pStyle w:val="Ingetavstnd"/>
        <w:jc w:val="center"/>
        <w:rPr>
          <w:sz w:val="24"/>
          <w:szCs w:val="24"/>
        </w:rPr>
      </w:pPr>
    </w:p>
    <w:p w14:paraId="5B351CFD" w14:textId="44E3D18D" w:rsidR="00DE5E0F" w:rsidRDefault="00F30023" w:rsidP="00D062D5">
      <w:pPr>
        <w:pStyle w:val="Ingetavstnd"/>
        <w:jc w:val="center"/>
        <w:rPr>
          <w:sz w:val="24"/>
          <w:szCs w:val="24"/>
        </w:rPr>
      </w:pPr>
      <w:r>
        <w:rPr>
          <w:sz w:val="24"/>
          <w:szCs w:val="24"/>
        </w:rPr>
        <w:t xml:space="preserve">Updated version, </w:t>
      </w:r>
      <w:r w:rsidR="00A2611D">
        <w:rPr>
          <w:sz w:val="24"/>
          <w:szCs w:val="24"/>
        </w:rPr>
        <w:t>October</w:t>
      </w:r>
      <w:r>
        <w:rPr>
          <w:sz w:val="24"/>
          <w:szCs w:val="24"/>
        </w:rPr>
        <w:t xml:space="preserve"> </w:t>
      </w:r>
      <w:r w:rsidR="00C75627">
        <w:rPr>
          <w:sz w:val="24"/>
          <w:szCs w:val="24"/>
        </w:rPr>
        <w:t>202</w:t>
      </w:r>
      <w:r w:rsidR="005245F8">
        <w:rPr>
          <w:sz w:val="24"/>
          <w:szCs w:val="24"/>
        </w:rPr>
        <w:t>1</w:t>
      </w:r>
    </w:p>
    <w:p w14:paraId="1B548CC3" w14:textId="570711A3" w:rsidR="00D811FF" w:rsidRPr="00D811FF" w:rsidRDefault="00D062D5" w:rsidP="00D811FF">
      <w:pPr>
        <w:pStyle w:val="Ingetavstnd"/>
        <w:rPr>
          <w:b/>
          <w:bCs/>
          <w:sz w:val="28"/>
          <w:szCs w:val="28"/>
        </w:rPr>
      </w:pPr>
      <w:r>
        <w:rPr>
          <w:b/>
          <w:bCs/>
          <w:sz w:val="28"/>
          <w:szCs w:val="28"/>
        </w:rPr>
        <w:br w:type="column"/>
      </w:r>
      <w:r w:rsidR="003A526C">
        <w:rPr>
          <w:b/>
          <w:bCs/>
          <w:sz w:val="28"/>
          <w:szCs w:val="28"/>
        </w:rPr>
        <w:lastRenderedPageBreak/>
        <w:t>Highlights</w:t>
      </w:r>
    </w:p>
    <w:p w14:paraId="15A8DB6D" w14:textId="77777777" w:rsidR="00D811FF" w:rsidRPr="00D811FF" w:rsidRDefault="00D811FF" w:rsidP="00D811FF">
      <w:pPr>
        <w:pStyle w:val="Ingetavstnd"/>
      </w:pPr>
    </w:p>
    <w:p w14:paraId="0E501038" w14:textId="00CB0D9A" w:rsidR="003A526C" w:rsidRDefault="00C96BE2" w:rsidP="004A2580">
      <w:pPr>
        <w:pStyle w:val="Ingetavstnd"/>
        <w:numPr>
          <w:ilvl w:val="0"/>
          <w:numId w:val="22"/>
        </w:numPr>
      </w:pPr>
      <w:r>
        <w:t>From city parks to urban woodland</w:t>
      </w:r>
      <w:r w:rsidR="003767F3">
        <w:t xml:space="preserve"> and waterfronts</w:t>
      </w:r>
      <w:r>
        <w:t>, and from green schoolyards to community gardens, u</w:t>
      </w:r>
      <w:r w:rsidR="005245F8">
        <w:t xml:space="preserve">rban green space is crucial for vibrant, resilient, and healthy Nordic cities, especially </w:t>
      </w:r>
      <w:r w:rsidR="00720AD5">
        <w:t>for</w:t>
      </w:r>
      <w:r w:rsidR="005245F8">
        <w:t xml:space="preserve"> climate adaptation</w:t>
      </w:r>
      <w:r w:rsidR="00817169">
        <w:t xml:space="preserve"> and mitigation</w:t>
      </w:r>
      <w:r w:rsidR="005245F8">
        <w:t>, health promotion, biodiversity conservation</w:t>
      </w:r>
      <w:r w:rsidR="007418ED">
        <w:t xml:space="preserve"> and </w:t>
      </w:r>
      <w:r w:rsidR="005245F8">
        <w:t xml:space="preserve">restoration. </w:t>
      </w:r>
    </w:p>
    <w:p w14:paraId="64F29A0F" w14:textId="31FC9A96" w:rsidR="003A526C" w:rsidRDefault="003A526C" w:rsidP="004A2580">
      <w:pPr>
        <w:pStyle w:val="Ingetavstnd"/>
        <w:numPr>
          <w:ilvl w:val="0"/>
          <w:numId w:val="22"/>
        </w:numPr>
      </w:pPr>
      <w:r>
        <w:t>Green spaces should be considered part of critical infrastructure, assets</w:t>
      </w:r>
      <w:r w:rsidRPr="00F30023">
        <w:t xml:space="preserve"> essential for the functioning of societ</w:t>
      </w:r>
      <w:r w:rsidR="00720AD5">
        <w:t>ies</w:t>
      </w:r>
      <w:r w:rsidRPr="00F30023">
        <w:t xml:space="preserve"> and econom</w:t>
      </w:r>
      <w:r w:rsidR="00720AD5">
        <w:t>ies</w:t>
      </w:r>
      <w:r>
        <w:t>.</w:t>
      </w:r>
    </w:p>
    <w:p w14:paraId="09033F04" w14:textId="4ED5542D" w:rsidR="003A526C" w:rsidRDefault="005245F8" w:rsidP="004A2580">
      <w:pPr>
        <w:pStyle w:val="Ingetavstnd"/>
        <w:numPr>
          <w:ilvl w:val="0"/>
          <w:numId w:val="22"/>
        </w:numPr>
      </w:pPr>
      <w:r>
        <w:t xml:space="preserve">Nordic cities have a long history of </w:t>
      </w:r>
      <w:r w:rsidR="00720AD5">
        <w:t xml:space="preserve">striving to be </w:t>
      </w:r>
      <w:r>
        <w:t>green and sustainab</w:t>
      </w:r>
      <w:r w:rsidR="00720AD5">
        <w:t xml:space="preserve">le but </w:t>
      </w:r>
      <w:r>
        <w:t>urban green space and the benefits it provides</w:t>
      </w:r>
      <w:r w:rsidR="00720AD5">
        <w:t xml:space="preserve"> need to be strengthened further</w:t>
      </w:r>
      <w:r>
        <w:t>.</w:t>
      </w:r>
    </w:p>
    <w:p w14:paraId="635B3045" w14:textId="7D52A915" w:rsidR="003A526C" w:rsidRDefault="004A2580" w:rsidP="004A2580">
      <w:pPr>
        <w:pStyle w:val="Ingetavstnd"/>
        <w:numPr>
          <w:ilvl w:val="0"/>
          <w:numId w:val="22"/>
        </w:numPr>
      </w:pPr>
      <w:r>
        <w:t xml:space="preserve">To develop the Nordic Green City of the Future, urban green space needs to meet the principles of </w:t>
      </w:r>
      <w:r w:rsidR="008F1D41">
        <w:t xml:space="preserve">Proximity, </w:t>
      </w:r>
      <w:r>
        <w:t xml:space="preserve">Diversity, Connectivity, </w:t>
      </w:r>
      <w:r w:rsidR="002D412D">
        <w:t xml:space="preserve">and </w:t>
      </w:r>
      <w:r>
        <w:t>Equity. These principles can be translated into specific guidelines to inform policy, planning, design, and management.</w:t>
      </w:r>
    </w:p>
    <w:p w14:paraId="7DACE2D9" w14:textId="377E1A8C" w:rsidR="005245F8" w:rsidRDefault="003A526C" w:rsidP="004A2580">
      <w:pPr>
        <w:pStyle w:val="Ingetavstnd"/>
        <w:numPr>
          <w:ilvl w:val="0"/>
          <w:numId w:val="22"/>
        </w:numPr>
      </w:pPr>
      <w:r>
        <w:t>F</w:t>
      </w:r>
      <w:r w:rsidR="005245F8">
        <w:t>urther national policy and guidance</w:t>
      </w:r>
      <w:r w:rsidR="003E7424">
        <w:t xml:space="preserve"> and knowledge sharing are</w:t>
      </w:r>
      <w:r>
        <w:t xml:space="preserve"> needed to </w:t>
      </w:r>
      <w:r w:rsidR="005245F8">
        <w:t>assist cities in developing</w:t>
      </w:r>
      <w:r w:rsidR="003C3682">
        <w:t xml:space="preserve"> and </w:t>
      </w:r>
      <w:r w:rsidR="005245F8">
        <w:t xml:space="preserve">implementing stronger urban green space </w:t>
      </w:r>
      <w:r w:rsidR="003C3682">
        <w:t>programs</w:t>
      </w:r>
      <w:r>
        <w:t xml:space="preserve"> and strategies</w:t>
      </w:r>
      <w:r w:rsidR="005245F8">
        <w:t>.</w:t>
      </w:r>
    </w:p>
    <w:p w14:paraId="1C8EF6EC" w14:textId="77777777" w:rsidR="00D811FF" w:rsidRPr="00D811FF" w:rsidRDefault="00D811FF" w:rsidP="00D811FF">
      <w:pPr>
        <w:pStyle w:val="Ingetavstnd"/>
      </w:pPr>
    </w:p>
    <w:p w14:paraId="33A38923" w14:textId="5E9F83BB" w:rsidR="00D811FF" w:rsidRDefault="00D811FF" w:rsidP="00D811FF">
      <w:pPr>
        <w:pStyle w:val="Ingetavstnd"/>
      </w:pPr>
    </w:p>
    <w:p w14:paraId="23D0CF8B" w14:textId="5E7398DF" w:rsidR="00D811FF" w:rsidRPr="00D811FF" w:rsidRDefault="008B74B7" w:rsidP="00D811FF">
      <w:pPr>
        <w:pStyle w:val="Ingetavstnd"/>
        <w:rPr>
          <w:b/>
          <w:bCs/>
          <w:sz w:val="28"/>
          <w:szCs w:val="28"/>
        </w:rPr>
      </w:pPr>
      <w:bookmarkStart w:id="0" w:name="_Hlk72929809"/>
      <w:r>
        <w:rPr>
          <w:b/>
          <w:bCs/>
          <w:sz w:val="28"/>
          <w:szCs w:val="28"/>
        </w:rPr>
        <w:t>Scope</w:t>
      </w:r>
    </w:p>
    <w:bookmarkEnd w:id="0"/>
    <w:p w14:paraId="1CB6DA72" w14:textId="13BC9AE6" w:rsidR="00D811FF" w:rsidRDefault="00D811FF" w:rsidP="00D811FF">
      <w:pPr>
        <w:pStyle w:val="Ingetavstnd"/>
      </w:pPr>
    </w:p>
    <w:p w14:paraId="458F3502" w14:textId="6CEF14A8" w:rsidR="008B74B7" w:rsidRDefault="008B74B7" w:rsidP="00D811FF">
      <w:pPr>
        <w:pStyle w:val="Ingetavstnd"/>
      </w:pPr>
      <w:r>
        <w:t>As the Nordic countries, like other parts of the world, face a climate emergency, biodiversity loss, and public health challenges</w:t>
      </w:r>
      <w:r w:rsidR="001D65B2">
        <w:t xml:space="preserve"> (most recently the global COVID-19 pandemic)</w:t>
      </w:r>
      <w:r>
        <w:t xml:space="preserve">, increasing focus is on the places where most of us live: cities. The need to develop urban environments that are healthy and resilient, and where individuals and communities can thrive, is increasingly recognised by policy makers. At the global level, </w:t>
      </w:r>
      <w:r w:rsidR="00261BD0">
        <w:t xml:space="preserve">several Sustainable Development Goals link to the importance of healthy and green living environments, </w:t>
      </w:r>
      <w:r w:rsidR="00F77FA8">
        <w:t xml:space="preserve">with </w:t>
      </w:r>
      <w:r>
        <w:t xml:space="preserve">Sustainable Development Goal </w:t>
      </w:r>
      <w:r w:rsidR="00C96BE2">
        <w:t xml:space="preserve">number </w:t>
      </w:r>
      <w:r>
        <w:t>11 specifically address</w:t>
      </w:r>
      <w:r w:rsidR="00261BD0">
        <w:t>ing</w:t>
      </w:r>
      <w:r>
        <w:t xml:space="preserve"> cities</w:t>
      </w:r>
      <w:r w:rsidR="00261BD0">
        <w:t xml:space="preserve"> and</w:t>
      </w:r>
      <w:r>
        <w:t xml:space="preserve"> calling for universal access to urban green space. Urban ecosystems are a focus area of the new UN Decade of Restoration as well. At the European level, cities are recognised as key deliver</w:t>
      </w:r>
      <w:r w:rsidR="00F77FA8">
        <w:t>er</w:t>
      </w:r>
      <w:r>
        <w:t xml:space="preserve">s of </w:t>
      </w:r>
      <w:r w:rsidR="009C7433">
        <w:t xml:space="preserve">climate objectives and </w:t>
      </w:r>
      <w:r>
        <w:t>the EU Green Deal</w:t>
      </w:r>
      <w:r w:rsidR="009C7433">
        <w:t xml:space="preserve">’s call for </w:t>
      </w:r>
      <w:r>
        <w:t>carbon neutral economies</w:t>
      </w:r>
      <w:r w:rsidR="009C7433">
        <w:t>. One of the key mechanisms is to expand n</w:t>
      </w:r>
      <w:r w:rsidR="00817169">
        <w:t>atural carbon sinks.</w:t>
      </w:r>
      <w:r>
        <w:t xml:space="preserve"> The EU Biodiversity Strategy for 2030 is one of the latest documents that stressed the need for greener cities.</w:t>
      </w:r>
      <w:r w:rsidR="00817169">
        <w:t xml:space="preserve"> The EU Forestry Strategy calls for the planting of an additional 3 billion trees, including in and near urban areas.</w:t>
      </w:r>
      <w:r w:rsidR="00F30023">
        <w:t xml:space="preserve"> The New European Bauhaus (2021), which calls for </w:t>
      </w:r>
      <w:r w:rsidR="00F30023" w:rsidRPr="00F30023">
        <w:t>beautiful, sustainable</w:t>
      </w:r>
      <w:r w:rsidR="00F30023">
        <w:t>,</w:t>
      </w:r>
      <w:r w:rsidR="00F30023" w:rsidRPr="00F30023">
        <w:t xml:space="preserve"> and inclusive forms of living</w:t>
      </w:r>
      <w:r w:rsidR="00F30023">
        <w:t xml:space="preserve">, as well as its specific Nordic adaptation through a process of co-design, also provide an important international framework. </w:t>
      </w:r>
      <w:r>
        <w:t>The Nordic Vision 2030 links up to these initiatives, reaffirming the Nordic Countries’ global leadership in sustainable urban development</w:t>
      </w:r>
      <w:r w:rsidR="00C96BE2">
        <w:t>:</w:t>
      </w:r>
    </w:p>
    <w:p w14:paraId="739DEC36" w14:textId="0C7BCE5A" w:rsidR="00C96BE2" w:rsidRDefault="00C96BE2" w:rsidP="00D811FF">
      <w:pPr>
        <w:pStyle w:val="Ingetavstnd"/>
      </w:pPr>
    </w:p>
    <w:p w14:paraId="04A81A8E" w14:textId="7B0DCF30" w:rsidR="00C96BE2" w:rsidRPr="00C96BE2" w:rsidRDefault="00C96BE2" w:rsidP="00C96BE2">
      <w:pPr>
        <w:pStyle w:val="Ingetavstnd"/>
        <w:jc w:val="center"/>
        <w:rPr>
          <w:i/>
          <w:iCs/>
        </w:rPr>
      </w:pPr>
      <w:r w:rsidRPr="00C96BE2">
        <w:rPr>
          <w:i/>
          <w:iCs/>
        </w:rPr>
        <w:t>The Nordic Region will become the most sustainable and integrated region in the world</w:t>
      </w:r>
      <w:r>
        <w:rPr>
          <w:i/>
          <w:iCs/>
        </w:rPr>
        <w:t>.</w:t>
      </w:r>
    </w:p>
    <w:p w14:paraId="0FE999D1" w14:textId="0FBE8E44" w:rsidR="008B74B7" w:rsidRDefault="008B74B7" w:rsidP="00D811FF">
      <w:pPr>
        <w:pStyle w:val="Ingetavstnd"/>
      </w:pPr>
    </w:p>
    <w:p w14:paraId="51C13FCC" w14:textId="1AD49EFD" w:rsidR="00F96554" w:rsidRDefault="008B74B7" w:rsidP="00F96554">
      <w:pPr>
        <w:pStyle w:val="Ingetavstnd"/>
      </w:pPr>
      <w:r>
        <w:t xml:space="preserve">In </w:t>
      </w:r>
      <w:r w:rsidR="008F1D41">
        <w:t>this context</w:t>
      </w:r>
      <w:r>
        <w:t xml:space="preserve">, this policy brief </w:t>
      </w:r>
      <w:r w:rsidR="007C337B">
        <w:t>addresses why urban green</w:t>
      </w:r>
      <w:r w:rsidR="00BF4FD6">
        <w:t xml:space="preserve"> spaces (which are considered here as including </w:t>
      </w:r>
      <w:r w:rsidR="005651E6">
        <w:t>blue</w:t>
      </w:r>
      <w:r w:rsidR="007C337B">
        <w:t xml:space="preserve"> spaces</w:t>
      </w:r>
      <w:r w:rsidR="00BF4FD6">
        <w:t xml:space="preserve"> as well)</w:t>
      </w:r>
      <w:r w:rsidR="007C337B">
        <w:t xml:space="preserve"> are essential for Nordic cities and citizens. It </w:t>
      </w:r>
      <w:r w:rsidR="001F232A">
        <w:t>discusses</w:t>
      </w:r>
      <w:r w:rsidR="007C337B">
        <w:t xml:space="preserve"> what types of initiatives and actions can be taken to enhance these spaces and the benefits they provide</w:t>
      </w:r>
      <w:r w:rsidR="001F232A">
        <w:t xml:space="preserve"> and </w:t>
      </w:r>
      <w:r>
        <w:t>sets out directions for initiatives at the national level, as a way of linking international commitments to local level delivery</w:t>
      </w:r>
      <w:r w:rsidR="001F232A">
        <w:t xml:space="preserve"> specific to a Nordic context</w:t>
      </w:r>
      <w:r>
        <w:t xml:space="preserve">. This brief has policy makers at the national level as </w:t>
      </w:r>
      <w:r w:rsidR="00F77FA8">
        <w:t xml:space="preserve">the </w:t>
      </w:r>
      <w:r>
        <w:t>key target group, but also links to the work of decision makers</w:t>
      </w:r>
      <w:r w:rsidR="003C3682">
        <w:t xml:space="preserve"> and other stakeholders</w:t>
      </w:r>
      <w:r>
        <w:t xml:space="preserve"> at the regional and</w:t>
      </w:r>
      <w:r w:rsidR="007C337B">
        <w:t xml:space="preserve"> especially the</w:t>
      </w:r>
      <w:r>
        <w:t xml:space="preserve"> local level. </w:t>
      </w:r>
      <w:r w:rsidR="007C337B">
        <w:t>Greater collaboration across governmental levels,</w:t>
      </w:r>
      <w:r w:rsidR="001F232A">
        <w:t xml:space="preserve"> between sectors,</w:t>
      </w:r>
      <w:r w:rsidR="007C337B">
        <w:t xml:space="preserve"> as well as in partnership with other stakeholders, will enhance the development of the </w:t>
      </w:r>
      <w:r w:rsidR="00A2611D">
        <w:t xml:space="preserve">future </w:t>
      </w:r>
      <w:r w:rsidR="007C337B">
        <w:t>Nordic green cit</w:t>
      </w:r>
      <w:r w:rsidR="00A2611D">
        <w:t>y</w:t>
      </w:r>
      <w:r w:rsidR="007C337B">
        <w:t>.</w:t>
      </w:r>
    </w:p>
    <w:p w14:paraId="04629A43" w14:textId="77777777" w:rsidR="005245F8" w:rsidRDefault="005245F8" w:rsidP="005245F8">
      <w:pPr>
        <w:pStyle w:val="Ingetavstnd"/>
        <w:rPr>
          <w:i/>
          <w:iCs/>
        </w:rPr>
      </w:pPr>
    </w:p>
    <w:p w14:paraId="76406F18" w14:textId="77777777" w:rsidR="005245F8" w:rsidRDefault="005245F8" w:rsidP="005245F8">
      <w:pPr>
        <w:pStyle w:val="Ingetavstnd"/>
        <w:rPr>
          <w:i/>
          <w:iCs/>
        </w:rPr>
      </w:pPr>
    </w:p>
    <w:p w14:paraId="6EF1515B" w14:textId="4CD51314" w:rsidR="005245F8" w:rsidRPr="005245F8" w:rsidRDefault="0006638C" w:rsidP="005245F8">
      <w:pPr>
        <w:pStyle w:val="Ingetavstnd"/>
        <w:rPr>
          <w:b/>
          <w:bCs/>
          <w:sz w:val="28"/>
          <w:szCs w:val="28"/>
        </w:rPr>
      </w:pPr>
      <w:bookmarkStart w:id="1" w:name="_Hlk72929847"/>
      <w:r>
        <w:rPr>
          <w:b/>
          <w:bCs/>
          <w:sz w:val="28"/>
          <w:szCs w:val="28"/>
        </w:rPr>
        <w:br w:type="column"/>
      </w:r>
      <w:r w:rsidR="005245F8">
        <w:rPr>
          <w:b/>
          <w:bCs/>
          <w:sz w:val="28"/>
          <w:szCs w:val="28"/>
        </w:rPr>
        <w:lastRenderedPageBreak/>
        <w:t>Essential Urban Green Space</w:t>
      </w:r>
    </w:p>
    <w:bookmarkEnd w:id="1"/>
    <w:p w14:paraId="20ED1E85" w14:textId="00B29E7F" w:rsidR="005245F8" w:rsidRPr="005245F8" w:rsidRDefault="005245F8" w:rsidP="005245F8">
      <w:pPr>
        <w:pStyle w:val="Ingetavstnd"/>
        <w:rPr>
          <w:b/>
          <w:bCs/>
        </w:rPr>
      </w:pPr>
    </w:p>
    <w:p w14:paraId="5CE6BA56" w14:textId="76973149" w:rsidR="008F06FB" w:rsidRDefault="008F06FB" w:rsidP="005245F8">
      <w:pPr>
        <w:pStyle w:val="Ingetavstnd"/>
      </w:pPr>
      <w:r>
        <w:t xml:space="preserve">The many essential benefits and ecosystem services provided by urban green spaces have become widely recognised, and the past years have seen a rapid increase in research and evidence. Among the many important contributions of urban green space are, for example, beautifying our urban settings, </w:t>
      </w:r>
      <w:r w:rsidR="009B020C">
        <w:t xml:space="preserve">ensuring </w:t>
      </w:r>
      <w:r w:rsidR="007F192F">
        <w:t xml:space="preserve">daily contact </w:t>
      </w:r>
      <w:r>
        <w:t xml:space="preserve">with nature, and building attachment to local environments. Three areas of </w:t>
      </w:r>
      <w:r w:rsidR="00FB1FE6">
        <w:t xml:space="preserve">green space </w:t>
      </w:r>
      <w:r>
        <w:t>benefits should be particularly highlighted:</w:t>
      </w:r>
    </w:p>
    <w:p w14:paraId="66ADE16E" w14:textId="37AE2B4D" w:rsidR="008F06FB" w:rsidRDefault="008F06FB" w:rsidP="005245F8">
      <w:pPr>
        <w:pStyle w:val="Ingetavstnd"/>
      </w:pPr>
    </w:p>
    <w:p w14:paraId="2FC009DB" w14:textId="2CD974D0" w:rsidR="008F06FB" w:rsidRDefault="00FB1FE6" w:rsidP="008F06FB">
      <w:pPr>
        <w:pStyle w:val="Ingetavstnd"/>
        <w:numPr>
          <w:ilvl w:val="0"/>
          <w:numId w:val="19"/>
        </w:numPr>
      </w:pPr>
      <w:r>
        <w:t>Helping</w:t>
      </w:r>
      <w:r w:rsidR="008F06FB">
        <w:t xml:space="preserve"> urban communities with climate change adaptation and mitigation, for example by cooling</w:t>
      </w:r>
      <w:r w:rsidR="009C7433">
        <w:t>,</w:t>
      </w:r>
      <w:r w:rsidR="008F06FB">
        <w:t xml:space="preserve"> reducing stormwater issues</w:t>
      </w:r>
      <w:r w:rsidR="009C7433">
        <w:t>,</w:t>
      </w:r>
      <w:r w:rsidR="005651E6">
        <w:t xml:space="preserve"> and </w:t>
      </w:r>
      <w:r w:rsidR="009C7433">
        <w:t>serving</w:t>
      </w:r>
      <w:r w:rsidR="005651E6">
        <w:t xml:space="preserve"> as carbon sink</w:t>
      </w:r>
      <w:r w:rsidR="00BF4FD6">
        <w:t>s</w:t>
      </w:r>
      <w:r w:rsidR="005651E6">
        <w:t xml:space="preserve"> and storage</w:t>
      </w:r>
      <w:r w:rsidR="008F06FB">
        <w:t>.</w:t>
      </w:r>
    </w:p>
    <w:p w14:paraId="2097F9A2" w14:textId="34C81B4A" w:rsidR="008F06FB" w:rsidRDefault="00FB1FE6" w:rsidP="008F06FB">
      <w:pPr>
        <w:pStyle w:val="Ingetavstnd"/>
        <w:numPr>
          <w:ilvl w:val="0"/>
          <w:numId w:val="19"/>
        </w:numPr>
      </w:pPr>
      <w:r>
        <w:t>Promoting</w:t>
      </w:r>
      <w:r w:rsidR="008F06FB">
        <w:t xml:space="preserve"> public health and wellbeing, by offering environments that inspire, reduce stress</w:t>
      </w:r>
      <w:r w:rsidR="00B93FCF">
        <w:t>,</w:t>
      </w:r>
      <w:r w:rsidR="008C3B30">
        <w:t xml:space="preserve"> and give us the chance to restore ourselves</w:t>
      </w:r>
      <w:r w:rsidR="008F06FB">
        <w:t>, enhance physical activity, and stimulate social interactions.</w:t>
      </w:r>
      <w:r w:rsidR="008C3B30">
        <w:t xml:space="preserve"> The COVID-19 pandemic has put further emphasis on th</w:t>
      </w:r>
      <w:r w:rsidR="0006638C">
        <w:t>ese</w:t>
      </w:r>
      <w:r w:rsidR="008C3B30">
        <w:t xml:space="preserve"> </w:t>
      </w:r>
      <w:r w:rsidR="0006638C">
        <w:t>essential roles</w:t>
      </w:r>
      <w:r w:rsidR="008C3B30">
        <w:t>.</w:t>
      </w:r>
    </w:p>
    <w:p w14:paraId="696FCDA2" w14:textId="272814CF" w:rsidR="008F06FB" w:rsidRDefault="00FB1FE6" w:rsidP="008F06FB">
      <w:pPr>
        <w:pStyle w:val="Ingetavstnd"/>
        <w:numPr>
          <w:ilvl w:val="0"/>
          <w:numId w:val="19"/>
        </w:numPr>
      </w:pPr>
      <w:r>
        <w:t>Harbouring</w:t>
      </w:r>
      <w:r w:rsidR="008F06FB">
        <w:t xml:space="preserve"> important biodiversity – </w:t>
      </w:r>
      <w:r>
        <w:t>urban green spaces</w:t>
      </w:r>
      <w:r w:rsidR="008F06FB">
        <w:t xml:space="preserve"> can sometimes even h</w:t>
      </w:r>
      <w:r>
        <w:t>ost</w:t>
      </w:r>
      <w:r w:rsidR="008F06FB">
        <w:t xml:space="preserve"> richer flora and fauna than </w:t>
      </w:r>
      <w:r>
        <w:t>areas outside cities.</w:t>
      </w:r>
    </w:p>
    <w:p w14:paraId="56C049F8" w14:textId="5BC57A72" w:rsidR="008F06FB" w:rsidRDefault="008F06FB" w:rsidP="005245F8">
      <w:pPr>
        <w:pStyle w:val="Ingetavstnd"/>
      </w:pPr>
    </w:p>
    <w:p w14:paraId="41F74B12" w14:textId="08CEB276" w:rsidR="008F06FB" w:rsidRDefault="008F06FB" w:rsidP="005245F8">
      <w:pPr>
        <w:pStyle w:val="Ingetavstnd"/>
      </w:pPr>
      <w:r>
        <w:t xml:space="preserve">The above benefits have become well documented and more has also become known about the reasons behind the benefits. We know, for example, that urban tree canopy is essential for shading and cooling, and that proximity and visibility of trees and other vegetation enhances our mental wellbeing. A diverse range of green spaces, with rich vegetation and landscape structures, can host high levels of biodiversity. Having public green spaces within easy reach will make us more </w:t>
      </w:r>
      <w:r w:rsidR="00F77FA8">
        <w:t xml:space="preserve">inclined </w:t>
      </w:r>
      <w:r>
        <w:t xml:space="preserve">to visit these spaces regularly, thus making positive contributions to our </w:t>
      </w:r>
      <w:r w:rsidR="001D65B2">
        <w:t xml:space="preserve">physical and mental </w:t>
      </w:r>
      <w:r>
        <w:t>health</w:t>
      </w:r>
      <w:r w:rsidR="001D65B2">
        <w:t xml:space="preserve"> while also enhancing social interactions.</w:t>
      </w:r>
    </w:p>
    <w:p w14:paraId="29622036" w14:textId="347A8219" w:rsidR="004F7DB7" w:rsidRDefault="004F7DB7" w:rsidP="005245F8">
      <w:pPr>
        <w:pStyle w:val="Ingetavstnd"/>
      </w:pPr>
    </w:p>
    <w:p w14:paraId="5ADDC1B0" w14:textId="17560864" w:rsidR="004F7DB7" w:rsidRDefault="004F7DB7" w:rsidP="005245F8">
      <w:pPr>
        <w:pStyle w:val="Ingetavstnd"/>
      </w:pPr>
      <w:r>
        <w:t>Also important are the economic benefits related to the above (e.g., avoided cost of climate change</w:t>
      </w:r>
      <w:r w:rsidR="008404F4">
        <w:t xml:space="preserve"> adaptation</w:t>
      </w:r>
      <w:r w:rsidR="00075732">
        <w:t xml:space="preserve"> and mitigation</w:t>
      </w:r>
      <w:r>
        <w:t xml:space="preserve"> and health</w:t>
      </w:r>
      <w:r w:rsidR="008404F4">
        <w:t>care</w:t>
      </w:r>
      <w:r>
        <w:t>), as well as to for example, the contributions green spaces can make to the local economy through tourism, creating business opportunities, and attracting investments.</w:t>
      </w:r>
    </w:p>
    <w:p w14:paraId="5A8C9F98" w14:textId="77777777" w:rsidR="00BF4FD6" w:rsidRDefault="00BF4FD6" w:rsidP="005245F8">
      <w:pPr>
        <w:pStyle w:val="Ingetavstnd"/>
      </w:pPr>
    </w:p>
    <w:p w14:paraId="44526673" w14:textId="2576DE05" w:rsidR="00F96554" w:rsidRDefault="008F06FB" w:rsidP="00F96554">
      <w:pPr>
        <w:pStyle w:val="Ingetavstnd"/>
      </w:pPr>
      <w:r>
        <w:t xml:space="preserve">From the above relationships specific targets and indicators can be derived that can inform policy. </w:t>
      </w:r>
      <w:r w:rsidR="00BF4FD6">
        <w:t>An example of this is the 3-30-300 guideline for urban greening</w:t>
      </w:r>
      <w:r w:rsidR="005B70D8">
        <w:t xml:space="preserve"> which was recently introduced by experts based on research on the health and climate adaptation benefits of urban green space. The guideline </w:t>
      </w:r>
      <w:r w:rsidR="00BF4FD6">
        <w:t xml:space="preserve">calls for every urban resident having a view of at least 3 trees, living in a neighbourhood with at least 30% canopy cover, and being able to access a public green space within 300 metres from their residence. </w:t>
      </w:r>
    </w:p>
    <w:p w14:paraId="6C961BD6" w14:textId="77777777" w:rsidR="005245F8" w:rsidRDefault="005245F8" w:rsidP="005245F8">
      <w:pPr>
        <w:pStyle w:val="Ingetavstnd"/>
        <w:rPr>
          <w:i/>
          <w:iCs/>
        </w:rPr>
      </w:pPr>
    </w:p>
    <w:p w14:paraId="63D4F62D" w14:textId="5F2C4511" w:rsidR="005245F8" w:rsidRDefault="005245F8" w:rsidP="005245F8">
      <w:pPr>
        <w:pStyle w:val="Ingetavstnd"/>
        <w:rPr>
          <w:i/>
          <w:iCs/>
        </w:rPr>
      </w:pPr>
    </w:p>
    <w:p w14:paraId="66DBAF1C" w14:textId="249C0F59" w:rsidR="005245F8" w:rsidRPr="005245F8" w:rsidRDefault="005245F8" w:rsidP="005245F8">
      <w:pPr>
        <w:pStyle w:val="Ingetavstnd"/>
        <w:rPr>
          <w:b/>
          <w:bCs/>
          <w:sz w:val="28"/>
          <w:szCs w:val="28"/>
        </w:rPr>
      </w:pPr>
      <w:r>
        <w:rPr>
          <w:b/>
          <w:bCs/>
          <w:sz w:val="28"/>
          <w:szCs w:val="28"/>
        </w:rPr>
        <w:t>Vision for the Nordic Green City of the Future</w:t>
      </w:r>
    </w:p>
    <w:p w14:paraId="406298A9" w14:textId="7CD7A6BA" w:rsidR="005245F8" w:rsidRDefault="005245F8" w:rsidP="005245F8">
      <w:pPr>
        <w:pStyle w:val="Ingetavstnd"/>
        <w:rPr>
          <w:i/>
          <w:iCs/>
        </w:rPr>
      </w:pPr>
    </w:p>
    <w:p w14:paraId="4B840AD4" w14:textId="020E9FCF" w:rsidR="002D492C" w:rsidRDefault="00853A6F" w:rsidP="005245F8">
      <w:pPr>
        <w:pStyle w:val="Ingetavstnd"/>
      </w:pPr>
      <w:r>
        <w:t xml:space="preserve">The Nordic countries and cities pride themselves on their environmental and sustainability policies </w:t>
      </w:r>
      <w:r w:rsidR="00B56C4B">
        <w:t xml:space="preserve">which are </w:t>
      </w:r>
      <w:r>
        <w:t xml:space="preserve">often </w:t>
      </w:r>
      <w:r w:rsidR="00B56C4B">
        <w:t xml:space="preserve">viewed </w:t>
      </w:r>
      <w:r>
        <w:t>as international examples. Many people across the world know about</w:t>
      </w:r>
      <w:r w:rsidR="000E4065">
        <w:t>,</w:t>
      </w:r>
      <w:r>
        <w:t xml:space="preserve"> for example, Copenhagen’s Finger Plan, the National Urban Parks of Finland and Sweden, and Oslo’s green infrastructure planning. </w:t>
      </w:r>
      <w:r w:rsidR="002D492C">
        <w:t xml:space="preserve">When </w:t>
      </w:r>
      <w:r w:rsidR="00CA4175">
        <w:t xml:space="preserve">further </w:t>
      </w:r>
      <w:r w:rsidR="002D492C">
        <w:t>developing</w:t>
      </w:r>
      <w:r w:rsidR="00CA4175">
        <w:t xml:space="preserve"> </w:t>
      </w:r>
      <w:r>
        <w:t xml:space="preserve">Nordic </w:t>
      </w:r>
      <w:r w:rsidR="002D492C">
        <w:t>Green Cities</w:t>
      </w:r>
      <w:r>
        <w:t xml:space="preserve"> that are not only green, but also resilient, healthy, and competitive</w:t>
      </w:r>
      <w:r w:rsidR="002D492C">
        <w:t xml:space="preserve">, the following key principles should be </w:t>
      </w:r>
      <w:r w:rsidR="001D65B2">
        <w:t>applied</w:t>
      </w:r>
      <w:r w:rsidR="002D492C">
        <w:t>:</w:t>
      </w:r>
    </w:p>
    <w:p w14:paraId="4943CA8C" w14:textId="77823119" w:rsidR="002D492C" w:rsidRDefault="002D492C" w:rsidP="005245F8">
      <w:pPr>
        <w:pStyle w:val="Ingetavstnd"/>
      </w:pPr>
    </w:p>
    <w:p w14:paraId="0B41AF94" w14:textId="294434CB" w:rsidR="008F1D41" w:rsidRDefault="008F1D41" w:rsidP="008F1D41">
      <w:pPr>
        <w:pStyle w:val="Ingetavstnd"/>
      </w:pPr>
      <w:r w:rsidRPr="002D492C">
        <w:rPr>
          <w:b/>
          <w:bCs/>
        </w:rPr>
        <w:t xml:space="preserve">Proximity: </w:t>
      </w:r>
      <w:r w:rsidRPr="003E7424">
        <w:t>Public g</w:t>
      </w:r>
      <w:r>
        <w:t xml:space="preserve">reen space should be within easy reach, e.g., not more than a 5-10 minutes’ walk away, as recommended by the World Health Organization. This will increase the regular use of these </w:t>
      </w:r>
      <w:r>
        <w:lastRenderedPageBreak/>
        <w:t xml:space="preserve">spaces, and with this come important health benefits. To ensure proximity, cities need to have dense green networks, with an evenly distributed urban tree canopy cover that provides essential climate adaptation, public health, and other benefits. Studies have shown that a canopy cover of 30-40% at the </w:t>
      </w:r>
      <w:proofErr w:type="spellStart"/>
      <w:r>
        <w:t>neigbourhood</w:t>
      </w:r>
      <w:proofErr w:type="spellEnd"/>
      <w:r>
        <w:t xml:space="preserve"> level results in major health gains and cooling impacts. Proximity also relates to visibility, as </w:t>
      </w:r>
      <w:r w:rsidR="0006638C">
        <w:t xml:space="preserve">recent </w:t>
      </w:r>
      <w:r>
        <w:t xml:space="preserve">research has demonstrated the crucial importance of being able to see trees and other vegetation from our homes, places of work, and schools. </w:t>
      </w:r>
      <w:r w:rsidR="0006638C">
        <w:t>V</w:t>
      </w:r>
      <w:r>
        <w:t xml:space="preserve">isual access to </w:t>
      </w:r>
      <w:r w:rsidR="00261BD0">
        <w:t xml:space="preserve">trees and other </w:t>
      </w:r>
      <w:r>
        <w:t>green</w:t>
      </w:r>
      <w:r w:rsidR="00883BD3">
        <w:t>ery</w:t>
      </w:r>
      <w:r>
        <w:t>,</w:t>
      </w:r>
      <w:r w:rsidR="00261BD0">
        <w:t xml:space="preserve"> for example from our windows,</w:t>
      </w:r>
      <w:r>
        <w:t xml:space="preserve"> </w:t>
      </w:r>
      <w:r w:rsidR="0006638C">
        <w:t xml:space="preserve">strengthens </w:t>
      </w:r>
      <w:r>
        <w:t>our mental health, ability to focus</w:t>
      </w:r>
      <w:r w:rsidR="0006638C">
        <w:t>,</w:t>
      </w:r>
      <w:r>
        <w:t xml:space="preserve"> and creativity increase.</w:t>
      </w:r>
      <w:r w:rsidR="00BF4FD6">
        <w:t xml:space="preserve"> The 3-30-300 guideline mentioned above can help guide and benchmark urban greening programs.</w:t>
      </w:r>
    </w:p>
    <w:p w14:paraId="099CC3D2" w14:textId="77777777" w:rsidR="008F1D41" w:rsidRPr="002D492C" w:rsidRDefault="008F1D41" w:rsidP="008F1D41">
      <w:pPr>
        <w:pStyle w:val="Ingetavstnd"/>
      </w:pPr>
    </w:p>
    <w:p w14:paraId="70FD7BA6" w14:textId="22BC6647" w:rsidR="002D492C" w:rsidRDefault="002D492C" w:rsidP="005245F8">
      <w:pPr>
        <w:pStyle w:val="Ingetavstnd"/>
      </w:pPr>
      <w:r w:rsidRPr="002D492C">
        <w:rPr>
          <w:b/>
          <w:bCs/>
        </w:rPr>
        <w:t>Diversity:</w:t>
      </w:r>
      <w:r>
        <w:t xml:space="preserve"> Cities need a mix of green spaces, from larger natural areas to neighbourhood parks, and from green schoolyards to community gardens</w:t>
      </w:r>
      <w:r w:rsidR="00AC4E1A">
        <w:t xml:space="preserve"> to green roofs and walls</w:t>
      </w:r>
      <w:r>
        <w:t>. These allow for a range of different uses and experiences Diversity also relates to</w:t>
      </w:r>
      <w:r w:rsidR="008C3B30">
        <w:t xml:space="preserve"> offering a variety of landscapes within green space,</w:t>
      </w:r>
      <w:r>
        <w:t xml:space="preserve"> the importance of enhancing biodiversity</w:t>
      </w:r>
      <w:r w:rsidR="008C3B30">
        <w:t>,</w:t>
      </w:r>
      <w:r>
        <w:t xml:space="preserve"> and of developing a diverse urban tree population</w:t>
      </w:r>
      <w:r w:rsidR="00853A6F">
        <w:t>.</w:t>
      </w:r>
      <w:r w:rsidR="00B93FCF">
        <w:t xml:space="preserve"> It also ensures that green spaces provide a diverse range of ecosystem services.</w:t>
      </w:r>
      <w:r w:rsidR="008F1D41">
        <w:t xml:space="preserve"> Diversity of green spaces and the experiences and benefits they offer places emphasis on quality and appropriate planning, design, and management.</w:t>
      </w:r>
    </w:p>
    <w:p w14:paraId="28FE1F30" w14:textId="223AB883" w:rsidR="002D492C" w:rsidRDefault="002D492C" w:rsidP="005245F8">
      <w:pPr>
        <w:pStyle w:val="Ingetavstnd"/>
      </w:pPr>
    </w:p>
    <w:p w14:paraId="41C54006" w14:textId="759D8476" w:rsidR="002D492C" w:rsidRPr="002D492C" w:rsidRDefault="002D492C" w:rsidP="005245F8">
      <w:pPr>
        <w:pStyle w:val="Ingetavstnd"/>
      </w:pPr>
      <w:r w:rsidRPr="002D492C">
        <w:rPr>
          <w:b/>
          <w:bCs/>
        </w:rPr>
        <w:t>Connectivity:</w:t>
      </w:r>
      <w:r>
        <w:rPr>
          <w:b/>
          <w:bCs/>
        </w:rPr>
        <w:t xml:space="preserve"> </w:t>
      </w:r>
      <w:r>
        <w:t>Cities need to have well-connected green networks, linking up different green spaces, and providing safe, green corridors between them. Connectivity enhances recreational use, but also benefits flora and fauna.</w:t>
      </w:r>
      <w:r w:rsidR="00B93FCF">
        <w:t xml:space="preserve"> Connectivity helps build resilience and leads to better functioning urban ecosystems that provide a wide range of ecosystem services.</w:t>
      </w:r>
      <w:r w:rsidR="004F7DB7">
        <w:t xml:space="preserve"> This also relates to the importance of connecting urban green structures with surrounding natural areas</w:t>
      </w:r>
      <w:r w:rsidR="008F1D41">
        <w:t xml:space="preserve"> and countryside, which allows for better linking for urban and rural areas.</w:t>
      </w:r>
    </w:p>
    <w:p w14:paraId="7C30228E" w14:textId="77777777" w:rsidR="002D492C" w:rsidRDefault="002D492C" w:rsidP="005245F8">
      <w:pPr>
        <w:pStyle w:val="Ingetavstnd"/>
      </w:pPr>
    </w:p>
    <w:p w14:paraId="12AEE612" w14:textId="6E129634" w:rsidR="005245F8" w:rsidRDefault="002D492C" w:rsidP="005245F8">
      <w:pPr>
        <w:pStyle w:val="Ingetavstnd"/>
      </w:pPr>
      <w:r w:rsidRPr="002D492C">
        <w:rPr>
          <w:b/>
          <w:bCs/>
        </w:rPr>
        <w:t xml:space="preserve">Equity: </w:t>
      </w:r>
      <w:r>
        <w:t xml:space="preserve">All residents should have </w:t>
      </w:r>
      <w:r w:rsidR="00FD7729">
        <w:t>physical and visible access to green space, which means that a city’s green infrastructure needs to be evenly distributed over the city. This also relates to good accessibility. Unbalanced greening can have negative side-effects, such as the possibility of green gentrification</w:t>
      </w:r>
      <w:r w:rsidR="00451EA1">
        <w:t xml:space="preserve"> or </w:t>
      </w:r>
      <w:r w:rsidR="00261BC0">
        <w:t xml:space="preserve">even </w:t>
      </w:r>
      <w:r w:rsidR="00451EA1">
        <w:t>segregation</w:t>
      </w:r>
      <w:r w:rsidR="00FD7729">
        <w:t>.</w:t>
      </w:r>
      <w:r w:rsidR="00B93FCF">
        <w:rPr>
          <w:b/>
          <w:bCs/>
        </w:rPr>
        <w:t xml:space="preserve"> </w:t>
      </w:r>
      <w:r w:rsidR="00B93FCF">
        <w:t xml:space="preserve">Everybody should be able to use green spaces, which means that </w:t>
      </w:r>
      <w:r w:rsidR="0006638C">
        <w:t>e.g.</w:t>
      </w:r>
      <w:r w:rsidR="00B93FCF">
        <w:t>, paths and infrastructure need to cater for different users, including those who are less mobile. Universal access is something to strive for.</w:t>
      </w:r>
      <w:r w:rsidR="00BF4FD6">
        <w:t xml:space="preserve"> This aspect also relates to engagement of people in local greening programs, which will promote a sense of community and social cohesion.</w:t>
      </w:r>
    </w:p>
    <w:p w14:paraId="2134493C" w14:textId="54404B40" w:rsidR="005245F8" w:rsidRDefault="005245F8" w:rsidP="005245F8">
      <w:pPr>
        <w:pStyle w:val="Ingetavstnd"/>
      </w:pPr>
    </w:p>
    <w:p w14:paraId="4193BA48" w14:textId="77777777" w:rsidR="00C205A8" w:rsidRDefault="00C205A8" w:rsidP="005245F8">
      <w:pPr>
        <w:pStyle w:val="Ingetavstnd"/>
      </w:pPr>
    </w:p>
    <w:p w14:paraId="5024EB17" w14:textId="50BEDB49" w:rsidR="005245F8" w:rsidRPr="005245F8" w:rsidRDefault="005245F8" w:rsidP="005245F8">
      <w:pPr>
        <w:pStyle w:val="Ingetavstnd"/>
        <w:rPr>
          <w:b/>
          <w:bCs/>
          <w:sz w:val="28"/>
          <w:szCs w:val="28"/>
        </w:rPr>
      </w:pPr>
      <w:r w:rsidRPr="005245F8">
        <w:rPr>
          <w:b/>
          <w:bCs/>
          <w:sz w:val="28"/>
          <w:szCs w:val="28"/>
        </w:rPr>
        <w:t>Recommendations for developing national polic</w:t>
      </w:r>
      <w:r w:rsidR="00CB6D5A">
        <w:rPr>
          <w:b/>
          <w:bCs/>
          <w:sz w:val="28"/>
          <w:szCs w:val="28"/>
        </w:rPr>
        <w:t>ies</w:t>
      </w:r>
      <w:r w:rsidR="00D41AD1">
        <w:rPr>
          <w:b/>
          <w:bCs/>
          <w:sz w:val="28"/>
          <w:szCs w:val="28"/>
        </w:rPr>
        <w:t xml:space="preserve"> and initiatives</w:t>
      </w:r>
    </w:p>
    <w:p w14:paraId="5D42402A" w14:textId="77777777" w:rsidR="005245F8" w:rsidRPr="00D811FF" w:rsidRDefault="005245F8" w:rsidP="005245F8">
      <w:pPr>
        <w:pStyle w:val="Ingetavstnd"/>
      </w:pPr>
    </w:p>
    <w:p w14:paraId="129729ED" w14:textId="3BE741C8" w:rsidR="006304D8" w:rsidRDefault="009C7433" w:rsidP="006304D8">
      <w:pPr>
        <w:pStyle w:val="Ingetavstnd"/>
      </w:pPr>
      <w:r>
        <w:t>W</w:t>
      </w:r>
      <w:r w:rsidR="006304D8">
        <w:t xml:space="preserve">ith the large majority of Nordic citizens living in cities, and </w:t>
      </w:r>
      <w:r w:rsidR="0006638C">
        <w:t xml:space="preserve">given the </w:t>
      </w:r>
      <w:r w:rsidR="006304D8">
        <w:t>current climate</w:t>
      </w:r>
      <w:r w:rsidR="00991D26">
        <w:t>, biodiversity</w:t>
      </w:r>
      <w:r w:rsidR="006304D8">
        <w:t xml:space="preserve"> and public health emergencies, it is important to increase awareness and knowledge on the importance of urban green spaces and stimulate further policy and actions. Local governments play an essential role in planning and managing urban green spaces, but the role of other levels of government and other stakeholders, including community groups, </w:t>
      </w:r>
      <w:r w:rsidR="00C90964">
        <w:t>non</w:t>
      </w:r>
      <w:r w:rsidR="006304D8">
        <w:t>-profit organisations, businesses,</w:t>
      </w:r>
      <w:r w:rsidR="00BF4FD6">
        <w:t xml:space="preserve"> and educational institutions</w:t>
      </w:r>
      <w:r w:rsidR="006304D8">
        <w:t xml:space="preserve"> can be enhanced.</w:t>
      </w:r>
      <w:r w:rsidR="006304D8" w:rsidRPr="006304D8">
        <w:t xml:space="preserve"> </w:t>
      </w:r>
      <w:r w:rsidR="006304D8">
        <w:t xml:space="preserve">International initiatives and programmes such as the Sustainable Development Goals, the UN Decade of Restoration (which </w:t>
      </w:r>
      <w:r w:rsidR="0006638C">
        <w:t>also focuses on</w:t>
      </w:r>
      <w:r w:rsidR="006304D8">
        <w:t xml:space="preserve"> urban ecosystems), the EU’s Biodiversity Strategy 2030, and the New European Bauhaus raise awareness of our (physical) environments and sustainable development. These need to be brought into the specific Nordic context.</w:t>
      </w:r>
      <w:r w:rsidR="006304D8" w:rsidRPr="006304D8">
        <w:t xml:space="preserve"> </w:t>
      </w:r>
      <w:r w:rsidR="006304D8">
        <w:t>National governments will be an important facilitator for this, bridging between international initiatives on the one hand, and local-level action in Nordic cities on the other.</w:t>
      </w:r>
    </w:p>
    <w:p w14:paraId="41E06F61" w14:textId="77777777" w:rsidR="006304D8" w:rsidRDefault="006304D8" w:rsidP="006304D8">
      <w:pPr>
        <w:pStyle w:val="Ingetavstnd"/>
      </w:pPr>
    </w:p>
    <w:p w14:paraId="20FE9D10" w14:textId="67167887" w:rsidR="00AF7764" w:rsidRDefault="00AF7764" w:rsidP="005245F8">
      <w:pPr>
        <w:pStyle w:val="Ingetavstnd"/>
      </w:pPr>
      <w:r>
        <w:lastRenderedPageBreak/>
        <w:t xml:space="preserve">National </w:t>
      </w:r>
      <w:r w:rsidR="006304D8">
        <w:t>guidance and support</w:t>
      </w:r>
      <w:r>
        <w:t xml:space="preserve"> for urban green space in the Nordic countries </w:t>
      </w:r>
      <w:r w:rsidR="00BF4FD6">
        <w:t>sh</w:t>
      </w:r>
      <w:r>
        <w:t>ould focus on the following aspects and components:</w:t>
      </w:r>
    </w:p>
    <w:p w14:paraId="5640E1F7" w14:textId="12299314" w:rsidR="00AF7764" w:rsidRDefault="00AF7764" w:rsidP="005245F8">
      <w:pPr>
        <w:pStyle w:val="Ingetavstnd"/>
      </w:pPr>
    </w:p>
    <w:p w14:paraId="7C8817FE" w14:textId="77777777" w:rsidR="00D33002" w:rsidRPr="00AF7764" w:rsidRDefault="00D33002" w:rsidP="00D33002">
      <w:pPr>
        <w:pStyle w:val="Ingetavstnd"/>
        <w:rPr>
          <w:i/>
          <w:iCs/>
        </w:rPr>
      </w:pPr>
      <w:r>
        <w:rPr>
          <w:i/>
          <w:iCs/>
        </w:rPr>
        <w:t>Recognising urban green spaces as critical infrastructure and r</w:t>
      </w:r>
      <w:r w:rsidRPr="00955705">
        <w:rPr>
          <w:i/>
          <w:iCs/>
        </w:rPr>
        <w:t>aising the</w:t>
      </w:r>
      <w:r>
        <w:rPr>
          <w:i/>
          <w:iCs/>
        </w:rPr>
        <w:t>ir</w:t>
      </w:r>
      <w:r w:rsidRPr="00955705">
        <w:rPr>
          <w:i/>
          <w:iCs/>
        </w:rPr>
        <w:t xml:space="preserve"> profile in planning frameworks</w:t>
      </w:r>
    </w:p>
    <w:p w14:paraId="0C0D6DE0" w14:textId="3A6A144F" w:rsidR="00D33002" w:rsidRDefault="00D33002" w:rsidP="00D33002">
      <w:pPr>
        <w:pStyle w:val="Ingetavstnd"/>
      </w:pPr>
      <w:r>
        <w:t xml:space="preserve">Urban (and regional) planning provides essential frames for the delivery and conservation of urban green spaces. Consideration of urban green spaces, including the use of the term green infrastructure, should be promoted. Although the Nordic countries have different planning legislation and frameworks, opportunities exist to address this issue also at the national level. Planning frameworks should incentivise the conservation and development of green space as part of development projects. </w:t>
      </w:r>
      <w:r w:rsidRPr="00AB16AA">
        <w:t>Critical infrastructure is a term used by governments to describe assets that are essential for the functioning of a society and economy</w:t>
      </w:r>
      <w:r>
        <w:t>. Green infrastructure is part of this critical infrastructure</w:t>
      </w:r>
      <w:r w:rsidR="005A5768">
        <w:t xml:space="preserve">. </w:t>
      </w:r>
      <w:r w:rsidRPr="00F96554">
        <w:t>Green spaces should be made an integral part of e.g., climate adaptation strategies and disaster risk management strategies.</w:t>
      </w:r>
    </w:p>
    <w:p w14:paraId="70CFC644" w14:textId="77777777" w:rsidR="00D33002" w:rsidRPr="00F96554" w:rsidRDefault="00D33002" w:rsidP="00D33002">
      <w:pPr>
        <w:pStyle w:val="Ingetavstnd"/>
      </w:pPr>
    </w:p>
    <w:p w14:paraId="4F5B06E4" w14:textId="461C6CF0" w:rsidR="00D33002" w:rsidRPr="00AF7764" w:rsidRDefault="00D33002" w:rsidP="00D33002">
      <w:pPr>
        <w:pStyle w:val="Ingetavstnd"/>
        <w:rPr>
          <w:i/>
          <w:iCs/>
        </w:rPr>
      </w:pPr>
      <w:r>
        <w:rPr>
          <w:i/>
          <w:iCs/>
        </w:rPr>
        <w:t>Developing</w:t>
      </w:r>
      <w:r w:rsidRPr="00AF7764">
        <w:rPr>
          <w:i/>
          <w:iCs/>
        </w:rPr>
        <w:t xml:space="preserve"> </w:t>
      </w:r>
      <w:r>
        <w:rPr>
          <w:i/>
          <w:iCs/>
        </w:rPr>
        <w:t>u</w:t>
      </w:r>
      <w:r w:rsidRPr="00AF7764">
        <w:rPr>
          <w:i/>
          <w:iCs/>
        </w:rPr>
        <w:t xml:space="preserve">rban </w:t>
      </w:r>
      <w:r>
        <w:rPr>
          <w:i/>
          <w:iCs/>
        </w:rPr>
        <w:t>g</w:t>
      </w:r>
      <w:r w:rsidRPr="00AF7764">
        <w:rPr>
          <w:i/>
          <w:iCs/>
        </w:rPr>
        <w:t xml:space="preserve">reen </w:t>
      </w:r>
      <w:r>
        <w:rPr>
          <w:i/>
          <w:iCs/>
        </w:rPr>
        <w:t>s</w:t>
      </w:r>
      <w:r w:rsidRPr="00AF7764">
        <w:rPr>
          <w:i/>
          <w:iCs/>
        </w:rPr>
        <w:t xml:space="preserve">pace </w:t>
      </w:r>
      <w:r>
        <w:rPr>
          <w:i/>
          <w:iCs/>
        </w:rPr>
        <w:t>s</w:t>
      </w:r>
      <w:r w:rsidRPr="00AF7764">
        <w:rPr>
          <w:i/>
          <w:iCs/>
        </w:rPr>
        <w:t>trategies</w:t>
      </w:r>
      <w:r w:rsidR="00542457">
        <w:rPr>
          <w:i/>
          <w:iCs/>
        </w:rPr>
        <w:t>, guidelines, and norms</w:t>
      </w:r>
    </w:p>
    <w:p w14:paraId="5CD6EFD8" w14:textId="37694B0C" w:rsidR="00AB16AA" w:rsidRPr="001130E4" w:rsidRDefault="00F96554" w:rsidP="00AF7764">
      <w:pPr>
        <w:pStyle w:val="Ingetavstnd"/>
        <w:rPr>
          <w:i/>
          <w:iCs/>
        </w:rPr>
      </w:pPr>
      <w:r w:rsidRPr="00F96554">
        <w:t>In line with</w:t>
      </w:r>
      <w:r w:rsidR="009C7433">
        <w:t xml:space="preserve"> international</w:t>
      </w:r>
      <w:r w:rsidRPr="00F96554">
        <w:t xml:space="preserve"> policies </w:t>
      </w:r>
      <w:r w:rsidR="00AF7764">
        <w:t>and initiatives</w:t>
      </w:r>
      <w:r w:rsidRPr="00F96554">
        <w:t xml:space="preserve">, cities should be asked to develop </w:t>
      </w:r>
      <w:r w:rsidR="003E7424">
        <w:t>u</w:t>
      </w:r>
      <w:r w:rsidRPr="00F96554">
        <w:t xml:space="preserve">rban </w:t>
      </w:r>
      <w:r w:rsidR="003E7424">
        <w:t>g</w:t>
      </w:r>
      <w:r w:rsidRPr="00F96554">
        <w:t xml:space="preserve">reen </w:t>
      </w:r>
      <w:r w:rsidR="003E7424">
        <w:t>s</w:t>
      </w:r>
      <w:r w:rsidRPr="00F96554">
        <w:t xml:space="preserve">pace </w:t>
      </w:r>
      <w:r w:rsidR="003E7424">
        <w:t>s</w:t>
      </w:r>
      <w:r w:rsidRPr="00F96554">
        <w:t>trategies that provide longer-term, strategic direction for the development and protection of urban green spaces and the benefits (</w:t>
      </w:r>
      <w:r w:rsidR="003E7424">
        <w:t xml:space="preserve">or </w:t>
      </w:r>
      <w:r w:rsidRPr="00F96554">
        <w:t>ecosystem services) these provide.</w:t>
      </w:r>
      <w:r w:rsidR="00AF7764">
        <w:t xml:space="preserve"> At the national level, important guidance for the development of these strategies can be provided, </w:t>
      </w:r>
      <w:r w:rsidR="007B6658">
        <w:t>for example</w:t>
      </w:r>
      <w:r w:rsidR="00AF7764">
        <w:t xml:space="preserve">, </w:t>
      </w:r>
      <w:r w:rsidR="007B6658">
        <w:t>on</w:t>
      </w:r>
      <w:r w:rsidR="00AF7764">
        <w:t xml:space="preserve"> how these plans should be structured.</w:t>
      </w:r>
      <w:r w:rsidR="007B6658">
        <w:t xml:space="preserve"> Nordic</w:t>
      </w:r>
      <w:r w:rsidR="009C7433">
        <w:t xml:space="preserve"> cooperation</w:t>
      </w:r>
      <w:r w:rsidR="007B6658">
        <w:t xml:space="preserve"> provides an important platform for coordinating these efforts and sharing knowledge and good practice.</w:t>
      </w:r>
      <w:r w:rsidR="003E7424">
        <w:t xml:space="preserve"> </w:t>
      </w:r>
      <w:r w:rsidR="009C7433">
        <w:t>U</w:t>
      </w:r>
      <w:r w:rsidR="003E7424">
        <w:t>rban green space strategies will also be an important mechanism for enhanced policy integration, as these strategies should be</w:t>
      </w:r>
      <w:r w:rsidR="00542457">
        <w:t xml:space="preserve"> coordinated with</w:t>
      </w:r>
      <w:r w:rsidR="003E7424">
        <w:t>, and inform other relevant policies and strategies, such as general city plans and climate action strategies.</w:t>
      </w:r>
      <w:r w:rsidR="001130E4">
        <w:rPr>
          <w:i/>
          <w:iCs/>
        </w:rPr>
        <w:t xml:space="preserve"> </w:t>
      </w:r>
      <w:r w:rsidR="001130E4">
        <w:t xml:space="preserve">Strategies need to include clear targets and the inclusion of guidelines and norms can assist. </w:t>
      </w:r>
      <w:r w:rsidR="00AB16AA">
        <w:t>Examples of this that are already used by some Nordic cities are proximity standards, tree canopy targets, green space norms</w:t>
      </w:r>
      <w:r w:rsidR="009C7433">
        <w:t xml:space="preserve"> and compensation requirements</w:t>
      </w:r>
      <w:r w:rsidR="00AB16AA">
        <w:t xml:space="preserve"> for new urban developments, and biodiversity targets. </w:t>
      </w:r>
      <w:r w:rsidR="001130E4">
        <w:t>New</w:t>
      </w:r>
      <w:r w:rsidR="00AB16AA">
        <w:t xml:space="preserve"> evidence and opportunities offered in terms of assessment and monitoring can support the developments of guidance</w:t>
      </w:r>
      <w:r w:rsidR="001130E4">
        <w:t xml:space="preserve"> a</w:t>
      </w:r>
      <w:r w:rsidR="009C7433">
        <w:t>s well as</w:t>
      </w:r>
      <w:r w:rsidR="001130E4">
        <w:t xml:space="preserve"> implementation of existing guidelines such as the 3-30-300 rule</w:t>
      </w:r>
      <w:r w:rsidR="00AB16AA">
        <w:t>. Other areas where guidelines and norms can be developed include</w:t>
      </w:r>
      <w:r w:rsidR="001130E4">
        <w:t xml:space="preserve"> </w:t>
      </w:r>
      <w:r w:rsidR="00AB16AA" w:rsidRPr="00F96554">
        <w:t>share of permeable soil in a city, presence of larger parks and other green spaces to promote ecosystem integrity and biodiversity</w:t>
      </w:r>
      <w:r w:rsidR="00AB16AA">
        <w:t>, and connectivity and equitable distribution of green space.</w:t>
      </w:r>
    </w:p>
    <w:p w14:paraId="6C00C0E4" w14:textId="19728FE8" w:rsidR="00AF7764" w:rsidRDefault="00AF7764" w:rsidP="00AF7764">
      <w:pPr>
        <w:pStyle w:val="Ingetavstnd"/>
      </w:pPr>
    </w:p>
    <w:p w14:paraId="0EA31C3B" w14:textId="0D1BEF4A" w:rsidR="00955705" w:rsidRDefault="003E7424" w:rsidP="00AF7764">
      <w:pPr>
        <w:pStyle w:val="Ingetavstnd"/>
        <w:rPr>
          <w:i/>
          <w:iCs/>
        </w:rPr>
      </w:pPr>
      <w:r>
        <w:rPr>
          <w:i/>
          <w:iCs/>
        </w:rPr>
        <w:t>Generating and sharing k</w:t>
      </w:r>
      <w:r w:rsidR="00955705">
        <w:rPr>
          <w:i/>
          <w:iCs/>
        </w:rPr>
        <w:t>nowledge</w:t>
      </w:r>
      <w:r>
        <w:rPr>
          <w:i/>
          <w:iCs/>
        </w:rPr>
        <w:t xml:space="preserve"> and good practice</w:t>
      </w:r>
    </w:p>
    <w:p w14:paraId="0B047EAB" w14:textId="075E83E5" w:rsidR="000D5EED" w:rsidRDefault="00955705" w:rsidP="008E1B93">
      <w:pPr>
        <w:pStyle w:val="Ingetavstnd"/>
      </w:pPr>
      <w:r>
        <w:t>National governments can play an important role in supporting the general of research and knowledge that can support urban green space planning, design, and management. Dedicated research agendas and funding streams should be set up, if these are not already in place, and research agendas should be developed jointly with municipal and other stakeholders. Capacity building should also be supported, e.g., by supporting education and training, exchange of experiences and good practices, and networking.</w:t>
      </w:r>
      <w:r w:rsidR="00D44D8F">
        <w:t xml:space="preserve"> Where possible, Nordic collaboration and synergies should be achieved.</w:t>
      </w:r>
      <w:r w:rsidR="003E7424">
        <w:t xml:space="preserve"> </w:t>
      </w:r>
      <w:r>
        <w:t xml:space="preserve">The Nordic countries already have a wealth of experience in developing urban green spaces. A more coordinated approach to learning, testing, identification and sharing of good practices and innovations would be highly beneficial. </w:t>
      </w:r>
    </w:p>
    <w:p w14:paraId="332D6D03" w14:textId="19DE48A2" w:rsidR="005A5768" w:rsidRDefault="005A5768" w:rsidP="008E1B93">
      <w:pPr>
        <w:pStyle w:val="Ingetavstnd"/>
      </w:pPr>
    </w:p>
    <w:p w14:paraId="7F9531E9" w14:textId="7A094525" w:rsidR="005A5768" w:rsidRDefault="005A5768" w:rsidP="008E1B93">
      <w:pPr>
        <w:pStyle w:val="Ingetavstnd"/>
      </w:pPr>
    </w:p>
    <w:p w14:paraId="44D9A1B1" w14:textId="5D70E3B3" w:rsidR="001130E4" w:rsidRDefault="00542457" w:rsidP="008E1B93">
      <w:pPr>
        <w:pStyle w:val="Ingetavstnd"/>
        <w:rPr>
          <w:i/>
          <w:iCs/>
        </w:rPr>
      </w:pPr>
      <w:r>
        <w:rPr>
          <w:i/>
          <w:iCs/>
        </w:rPr>
        <w:t>Please note that the final version of the policy brief will include pictures to illustrate good greening practices from the Nordic countries. Moreover, an illustration of the 3-30-300 guideline will be included.</w:t>
      </w:r>
      <w:r w:rsidR="009C7433">
        <w:rPr>
          <w:i/>
          <w:iCs/>
        </w:rPr>
        <w:t xml:space="preserve"> Key sources for further reference will also be added at the end of the brief.</w:t>
      </w:r>
    </w:p>
    <w:p w14:paraId="4EDC29C9" w14:textId="77777777" w:rsidR="009C7433" w:rsidRPr="009C7433" w:rsidRDefault="009C7433" w:rsidP="008E1B93">
      <w:pPr>
        <w:pStyle w:val="Ingetavstnd"/>
      </w:pPr>
    </w:p>
    <w:sectPr w:rsidR="009C7433" w:rsidRPr="009C7433" w:rsidSect="00E252B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1A143" w14:textId="77777777" w:rsidR="00967677" w:rsidRDefault="00967677" w:rsidP="00612705">
      <w:pPr>
        <w:spacing w:after="0" w:line="240" w:lineRule="auto"/>
      </w:pPr>
      <w:r>
        <w:separator/>
      </w:r>
    </w:p>
  </w:endnote>
  <w:endnote w:type="continuationSeparator" w:id="0">
    <w:p w14:paraId="49CFB3E9" w14:textId="77777777" w:rsidR="00967677" w:rsidRDefault="00967677" w:rsidP="00612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DC98" w14:textId="77777777" w:rsidR="005435AB" w:rsidRDefault="005435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8193806"/>
      <w:docPartObj>
        <w:docPartGallery w:val="Page Numbers (Bottom of Page)"/>
        <w:docPartUnique/>
      </w:docPartObj>
    </w:sdtPr>
    <w:sdtEndPr>
      <w:rPr>
        <w:noProof/>
      </w:rPr>
    </w:sdtEndPr>
    <w:sdtContent>
      <w:p w14:paraId="38A9ADF7" w14:textId="09AB80F6" w:rsidR="00443D43" w:rsidRDefault="00443D43">
        <w:pPr>
          <w:pStyle w:val="Sidfot"/>
          <w:jc w:val="center"/>
        </w:pPr>
        <w:r>
          <w:fldChar w:fldCharType="begin"/>
        </w:r>
        <w:r>
          <w:instrText xml:space="preserve"> PAGE   \* MERGEFORMAT </w:instrText>
        </w:r>
        <w:r>
          <w:fldChar w:fldCharType="separate"/>
        </w:r>
        <w:r w:rsidR="003767F3">
          <w:rPr>
            <w:noProof/>
          </w:rPr>
          <w:t>1</w:t>
        </w:r>
        <w:r>
          <w:rPr>
            <w:noProof/>
          </w:rPr>
          <w:fldChar w:fldCharType="end"/>
        </w:r>
      </w:p>
    </w:sdtContent>
  </w:sdt>
  <w:p w14:paraId="4F5255FB" w14:textId="77777777" w:rsidR="00443D43" w:rsidRDefault="00443D4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12164" w14:textId="77777777" w:rsidR="005435AB" w:rsidRDefault="005435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89E" w14:textId="77777777" w:rsidR="00967677" w:rsidRDefault="00967677" w:rsidP="00612705">
      <w:pPr>
        <w:spacing w:after="0" w:line="240" w:lineRule="auto"/>
      </w:pPr>
      <w:r>
        <w:separator/>
      </w:r>
    </w:p>
  </w:footnote>
  <w:footnote w:type="continuationSeparator" w:id="0">
    <w:p w14:paraId="0305A242" w14:textId="77777777" w:rsidR="00967677" w:rsidRDefault="00967677" w:rsidP="00612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AB64" w14:textId="77777777" w:rsidR="005435AB" w:rsidRDefault="005435A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8993F" w14:textId="77777777" w:rsidR="005435AB" w:rsidRDefault="005435A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E2AF8" w14:textId="77777777" w:rsidR="005435AB" w:rsidRDefault="005435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65C4"/>
    <w:multiLevelType w:val="hybridMultilevel"/>
    <w:tmpl w:val="A2DAFA8C"/>
    <w:lvl w:ilvl="0" w:tplc="F118CCD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2427C"/>
    <w:multiLevelType w:val="hybridMultilevel"/>
    <w:tmpl w:val="01E4C8B2"/>
    <w:lvl w:ilvl="0" w:tplc="F118CCD8">
      <w:numFmt w:val="bullet"/>
      <w:lvlText w:val="•"/>
      <w:lvlJc w:val="left"/>
      <w:pPr>
        <w:ind w:left="720" w:hanging="72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390F85"/>
    <w:multiLevelType w:val="hybridMultilevel"/>
    <w:tmpl w:val="350C59A4"/>
    <w:lvl w:ilvl="0" w:tplc="F118CCD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D7A70"/>
    <w:multiLevelType w:val="hybridMultilevel"/>
    <w:tmpl w:val="DBD03B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9900FC"/>
    <w:multiLevelType w:val="hybridMultilevel"/>
    <w:tmpl w:val="304AFAC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5" w15:restartNumberingAfterBreak="0">
    <w:nsid w:val="1114648D"/>
    <w:multiLevelType w:val="hybridMultilevel"/>
    <w:tmpl w:val="738E9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9A87E6F"/>
    <w:multiLevelType w:val="hybridMultilevel"/>
    <w:tmpl w:val="26CA6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4867E1"/>
    <w:multiLevelType w:val="hybridMultilevel"/>
    <w:tmpl w:val="1AC68D8C"/>
    <w:lvl w:ilvl="0" w:tplc="F118CCD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8D255B"/>
    <w:multiLevelType w:val="hybridMultilevel"/>
    <w:tmpl w:val="77D0E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53C3FA0"/>
    <w:multiLevelType w:val="hybridMultilevel"/>
    <w:tmpl w:val="3BEE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BC0952"/>
    <w:multiLevelType w:val="hybridMultilevel"/>
    <w:tmpl w:val="9E245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6D65534"/>
    <w:multiLevelType w:val="hybridMultilevel"/>
    <w:tmpl w:val="C6BA5966"/>
    <w:lvl w:ilvl="0" w:tplc="D1D0AD0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3329C"/>
    <w:multiLevelType w:val="hybridMultilevel"/>
    <w:tmpl w:val="B4D86D26"/>
    <w:lvl w:ilvl="0" w:tplc="F118CCD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92A5619"/>
    <w:multiLevelType w:val="hybridMultilevel"/>
    <w:tmpl w:val="6A246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DBD5C72"/>
    <w:multiLevelType w:val="hybridMultilevel"/>
    <w:tmpl w:val="9C98E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5944CA"/>
    <w:multiLevelType w:val="hybridMultilevel"/>
    <w:tmpl w:val="5C964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A5A1A"/>
    <w:multiLevelType w:val="hybridMultilevel"/>
    <w:tmpl w:val="B7DC0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C862803"/>
    <w:multiLevelType w:val="hybridMultilevel"/>
    <w:tmpl w:val="8D624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1E33C4"/>
    <w:multiLevelType w:val="hybridMultilevel"/>
    <w:tmpl w:val="B4A4A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D4FC2"/>
    <w:multiLevelType w:val="hybridMultilevel"/>
    <w:tmpl w:val="3ADEAACA"/>
    <w:lvl w:ilvl="0" w:tplc="F118CCD8">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463CB4"/>
    <w:multiLevelType w:val="hybridMultilevel"/>
    <w:tmpl w:val="1D2A1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C57D71"/>
    <w:multiLevelType w:val="hybridMultilevel"/>
    <w:tmpl w:val="36304B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9"/>
  </w:num>
  <w:num w:numId="4">
    <w:abstractNumId w:val="1"/>
  </w:num>
  <w:num w:numId="5">
    <w:abstractNumId w:val="12"/>
  </w:num>
  <w:num w:numId="6">
    <w:abstractNumId w:val="2"/>
  </w:num>
  <w:num w:numId="7">
    <w:abstractNumId w:val="0"/>
  </w:num>
  <w:num w:numId="8">
    <w:abstractNumId w:val="6"/>
  </w:num>
  <w:num w:numId="9">
    <w:abstractNumId w:val="18"/>
  </w:num>
  <w:num w:numId="10">
    <w:abstractNumId w:val="3"/>
  </w:num>
  <w:num w:numId="11">
    <w:abstractNumId w:val="21"/>
  </w:num>
  <w:num w:numId="12">
    <w:abstractNumId w:val="4"/>
  </w:num>
  <w:num w:numId="13">
    <w:abstractNumId w:val="16"/>
  </w:num>
  <w:num w:numId="14">
    <w:abstractNumId w:val="8"/>
  </w:num>
  <w:num w:numId="15">
    <w:abstractNumId w:val="13"/>
  </w:num>
  <w:num w:numId="16">
    <w:abstractNumId w:val="5"/>
  </w:num>
  <w:num w:numId="17">
    <w:abstractNumId w:val="17"/>
  </w:num>
  <w:num w:numId="18">
    <w:abstractNumId w:val="11"/>
  </w:num>
  <w:num w:numId="19">
    <w:abstractNumId w:val="20"/>
  </w:num>
  <w:num w:numId="20">
    <w:abstractNumId w:val="1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705"/>
    <w:rsid w:val="0000306B"/>
    <w:rsid w:val="0006638C"/>
    <w:rsid w:val="00071B2D"/>
    <w:rsid w:val="00075732"/>
    <w:rsid w:val="00085458"/>
    <w:rsid w:val="00094DF3"/>
    <w:rsid w:val="000A3748"/>
    <w:rsid w:val="000B7101"/>
    <w:rsid w:val="000C581E"/>
    <w:rsid w:val="000D5EED"/>
    <w:rsid w:val="000E4065"/>
    <w:rsid w:val="000F474E"/>
    <w:rsid w:val="00106048"/>
    <w:rsid w:val="001130E4"/>
    <w:rsid w:val="00124686"/>
    <w:rsid w:val="00132327"/>
    <w:rsid w:val="00132C5E"/>
    <w:rsid w:val="00133110"/>
    <w:rsid w:val="00144158"/>
    <w:rsid w:val="00165144"/>
    <w:rsid w:val="0019101C"/>
    <w:rsid w:val="001C244E"/>
    <w:rsid w:val="001D399B"/>
    <w:rsid w:val="001D65B2"/>
    <w:rsid w:val="001E00AD"/>
    <w:rsid w:val="001E00E7"/>
    <w:rsid w:val="001E1F5E"/>
    <w:rsid w:val="001F232A"/>
    <w:rsid w:val="002037A2"/>
    <w:rsid w:val="00221AEE"/>
    <w:rsid w:val="00234513"/>
    <w:rsid w:val="00254A66"/>
    <w:rsid w:val="00260E9F"/>
    <w:rsid w:val="00261186"/>
    <w:rsid w:val="00261BC0"/>
    <w:rsid w:val="00261BD0"/>
    <w:rsid w:val="002A02B7"/>
    <w:rsid w:val="002B4F5C"/>
    <w:rsid w:val="002D3562"/>
    <w:rsid w:val="002D412D"/>
    <w:rsid w:val="002D492C"/>
    <w:rsid w:val="002E049B"/>
    <w:rsid w:val="003028C8"/>
    <w:rsid w:val="00310BB7"/>
    <w:rsid w:val="003277C5"/>
    <w:rsid w:val="00341F6F"/>
    <w:rsid w:val="003601EF"/>
    <w:rsid w:val="00362C28"/>
    <w:rsid w:val="003767F3"/>
    <w:rsid w:val="00376ADA"/>
    <w:rsid w:val="00387BBB"/>
    <w:rsid w:val="003A1D08"/>
    <w:rsid w:val="003A47F4"/>
    <w:rsid w:val="003A526C"/>
    <w:rsid w:val="003B56DA"/>
    <w:rsid w:val="003C3682"/>
    <w:rsid w:val="003D2016"/>
    <w:rsid w:val="003E33D5"/>
    <w:rsid w:val="003E5BAE"/>
    <w:rsid w:val="003E7424"/>
    <w:rsid w:val="003F11FC"/>
    <w:rsid w:val="00401408"/>
    <w:rsid w:val="00412C9A"/>
    <w:rsid w:val="00424677"/>
    <w:rsid w:val="0042582E"/>
    <w:rsid w:val="00435688"/>
    <w:rsid w:val="004363FD"/>
    <w:rsid w:val="00442F40"/>
    <w:rsid w:val="00443D43"/>
    <w:rsid w:val="00450A22"/>
    <w:rsid w:val="00451EA1"/>
    <w:rsid w:val="00465A3C"/>
    <w:rsid w:val="004A2580"/>
    <w:rsid w:val="004A2D0C"/>
    <w:rsid w:val="004B034B"/>
    <w:rsid w:val="004B6465"/>
    <w:rsid w:val="004D58C5"/>
    <w:rsid w:val="004E78CD"/>
    <w:rsid w:val="004F3C39"/>
    <w:rsid w:val="004F43C3"/>
    <w:rsid w:val="004F7DB7"/>
    <w:rsid w:val="0050002A"/>
    <w:rsid w:val="00506137"/>
    <w:rsid w:val="005245F8"/>
    <w:rsid w:val="00535869"/>
    <w:rsid w:val="00542457"/>
    <w:rsid w:val="005435AB"/>
    <w:rsid w:val="005651E6"/>
    <w:rsid w:val="0057788A"/>
    <w:rsid w:val="0058418A"/>
    <w:rsid w:val="005A0049"/>
    <w:rsid w:val="005A5768"/>
    <w:rsid w:val="005B290F"/>
    <w:rsid w:val="005B3471"/>
    <w:rsid w:val="005B70D8"/>
    <w:rsid w:val="005C071F"/>
    <w:rsid w:val="005E0290"/>
    <w:rsid w:val="00601FB9"/>
    <w:rsid w:val="00612705"/>
    <w:rsid w:val="00614DF3"/>
    <w:rsid w:val="00623D58"/>
    <w:rsid w:val="00625A24"/>
    <w:rsid w:val="006304D8"/>
    <w:rsid w:val="006646E4"/>
    <w:rsid w:val="0066592F"/>
    <w:rsid w:val="00690EE0"/>
    <w:rsid w:val="006957AE"/>
    <w:rsid w:val="006A15D3"/>
    <w:rsid w:val="006C0CC6"/>
    <w:rsid w:val="006C4CDC"/>
    <w:rsid w:val="006E674B"/>
    <w:rsid w:val="00704ACE"/>
    <w:rsid w:val="00706A38"/>
    <w:rsid w:val="00716D68"/>
    <w:rsid w:val="00720AD5"/>
    <w:rsid w:val="00735078"/>
    <w:rsid w:val="007416C4"/>
    <w:rsid w:val="007418ED"/>
    <w:rsid w:val="00763FF8"/>
    <w:rsid w:val="007650A7"/>
    <w:rsid w:val="007712F5"/>
    <w:rsid w:val="007868DA"/>
    <w:rsid w:val="00795316"/>
    <w:rsid w:val="007A7C64"/>
    <w:rsid w:val="007B497E"/>
    <w:rsid w:val="007B6658"/>
    <w:rsid w:val="007B70EC"/>
    <w:rsid w:val="007C337B"/>
    <w:rsid w:val="007D1DCE"/>
    <w:rsid w:val="007F014D"/>
    <w:rsid w:val="007F192F"/>
    <w:rsid w:val="00811A14"/>
    <w:rsid w:val="00817169"/>
    <w:rsid w:val="00834A98"/>
    <w:rsid w:val="00834EF3"/>
    <w:rsid w:val="008404F4"/>
    <w:rsid w:val="008404FA"/>
    <w:rsid w:val="0084541E"/>
    <w:rsid w:val="0085208A"/>
    <w:rsid w:val="00852A07"/>
    <w:rsid w:val="00853A6F"/>
    <w:rsid w:val="00853B0F"/>
    <w:rsid w:val="00857A13"/>
    <w:rsid w:val="00862AB5"/>
    <w:rsid w:val="008762DC"/>
    <w:rsid w:val="00883BD3"/>
    <w:rsid w:val="008A52EF"/>
    <w:rsid w:val="008A7529"/>
    <w:rsid w:val="008A7A35"/>
    <w:rsid w:val="008B74B7"/>
    <w:rsid w:val="008C3B30"/>
    <w:rsid w:val="008E1B93"/>
    <w:rsid w:val="008E1FED"/>
    <w:rsid w:val="008F06FB"/>
    <w:rsid w:val="008F1D41"/>
    <w:rsid w:val="00921E0F"/>
    <w:rsid w:val="009352A1"/>
    <w:rsid w:val="00943098"/>
    <w:rsid w:val="009473D5"/>
    <w:rsid w:val="00955705"/>
    <w:rsid w:val="00956BDD"/>
    <w:rsid w:val="009573D2"/>
    <w:rsid w:val="0096427E"/>
    <w:rsid w:val="00967677"/>
    <w:rsid w:val="00991D26"/>
    <w:rsid w:val="009A6CEF"/>
    <w:rsid w:val="009B020C"/>
    <w:rsid w:val="009B3F0C"/>
    <w:rsid w:val="009B6FAC"/>
    <w:rsid w:val="009C7433"/>
    <w:rsid w:val="009D66BE"/>
    <w:rsid w:val="009F3745"/>
    <w:rsid w:val="009F4941"/>
    <w:rsid w:val="00A04C67"/>
    <w:rsid w:val="00A2611D"/>
    <w:rsid w:val="00A34F17"/>
    <w:rsid w:val="00A431B4"/>
    <w:rsid w:val="00A72C8D"/>
    <w:rsid w:val="00A925D4"/>
    <w:rsid w:val="00AB032A"/>
    <w:rsid w:val="00AB16AA"/>
    <w:rsid w:val="00AC4E1A"/>
    <w:rsid w:val="00AF116B"/>
    <w:rsid w:val="00AF22AA"/>
    <w:rsid w:val="00AF7764"/>
    <w:rsid w:val="00B036E9"/>
    <w:rsid w:val="00B17365"/>
    <w:rsid w:val="00B372DD"/>
    <w:rsid w:val="00B425C8"/>
    <w:rsid w:val="00B442D7"/>
    <w:rsid w:val="00B51FD8"/>
    <w:rsid w:val="00B56C4B"/>
    <w:rsid w:val="00B57154"/>
    <w:rsid w:val="00B776B1"/>
    <w:rsid w:val="00B865FB"/>
    <w:rsid w:val="00B93FCF"/>
    <w:rsid w:val="00BA66CE"/>
    <w:rsid w:val="00BB2FE7"/>
    <w:rsid w:val="00BB3FFF"/>
    <w:rsid w:val="00BC6BED"/>
    <w:rsid w:val="00BF4FD6"/>
    <w:rsid w:val="00C0753C"/>
    <w:rsid w:val="00C12508"/>
    <w:rsid w:val="00C205A8"/>
    <w:rsid w:val="00C4343E"/>
    <w:rsid w:val="00C53AF6"/>
    <w:rsid w:val="00C7372A"/>
    <w:rsid w:val="00C75627"/>
    <w:rsid w:val="00C8245E"/>
    <w:rsid w:val="00C83E67"/>
    <w:rsid w:val="00C90964"/>
    <w:rsid w:val="00C9501A"/>
    <w:rsid w:val="00C96BE2"/>
    <w:rsid w:val="00CA4175"/>
    <w:rsid w:val="00CB6D5A"/>
    <w:rsid w:val="00CC52AF"/>
    <w:rsid w:val="00D062D5"/>
    <w:rsid w:val="00D33002"/>
    <w:rsid w:val="00D41AD1"/>
    <w:rsid w:val="00D44D8F"/>
    <w:rsid w:val="00D61778"/>
    <w:rsid w:val="00D80867"/>
    <w:rsid w:val="00D811FF"/>
    <w:rsid w:val="00D81FC8"/>
    <w:rsid w:val="00D962B3"/>
    <w:rsid w:val="00DC4FD3"/>
    <w:rsid w:val="00DC6862"/>
    <w:rsid w:val="00DD41D9"/>
    <w:rsid w:val="00DE5E0F"/>
    <w:rsid w:val="00DF6389"/>
    <w:rsid w:val="00DF7806"/>
    <w:rsid w:val="00E0464A"/>
    <w:rsid w:val="00E159CB"/>
    <w:rsid w:val="00E1720B"/>
    <w:rsid w:val="00E252B2"/>
    <w:rsid w:val="00E40B91"/>
    <w:rsid w:val="00E547E1"/>
    <w:rsid w:val="00E574C9"/>
    <w:rsid w:val="00E64ECD"/>
    <w:rsid w:val="00E71DC4"/>
    <w:rsid w:val="00EA5099"/>
    <w:rsid w:val="00EE660F"/>
    <w:rsid w:val="00EE7492"/>
    <w:rsid w:val="00EF10C7"/>
    <w:rsid w:val="00F204D8"/>
    <w:rsid w:val="00F30023"/>
    <w:rsid w:val="00F6009E"/>
    <w:rsid w:val="00F75FD2"/>
    <w:rsid w:val="00F77FA8"/>
    <w:rsid w:val="00F903BF"/>
    <w:rsid w:val="00F92DD2"/>
    <w:rsid w:val="00F96554"/>
    <w:rsid w:val="00FB1BA7"/>
    <w:rsid w:val="00FB1FE6"/>
    <w:rsid w:val="00FB724E"/>
    <w:rsid w:val="00FC0384"/>
    <w:rsid w:val="00FC268B"/>
    <w:rsid w:val="00FD7729"/>
    <w:rsid w:val="00FF271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DB52B"/>
  <w15:chartTrackingRefBased/>
  <w15:docId w15:val="{707F7200-0FDB-4ECE-9FEF-A489E5A1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F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12705"/>
    <w:pPr>
      <w:spacing w:after="0" w:line="240" w:lineRule="auto"/>
    </w:pPr>
  </w:style>
  <w:style w:type="paragraph" w:styleId="Sidhuvud">
    <w:name w:val="header"/>
    <w:basedOn w:val="Normal"/>
    <w:link w:val="SidhuvudChar"/>
    <w:uiPriority w:val="99"/>
    <w:unhideWhenUsed/>
    <w:rsid w:val="00612705"/>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612705"/>
  </w:style>
  <w:style w:type="paragraph" w:styleId="Sidfot">
    <w:name w:val="footer"/>
    <w:basedOn w:val="Normal"/>
    <w:link w:val="SidfotChar"/>
    <w:uiPriority w:val="99"/>
    <w:unhideWhenUsed/>
    <w:rsid w:val="00612705"/>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612705"/>
  </w:style>
  <w:style w:type="character" w:styleId="Hyperlnk">
    <w:name w:val="Hyperlink"/>
    <w:basedOn w:val="Standardstycketeckensnitt"/>
    <w:uiPriority w:val="99"/>
    <w:unhideWhenUsed/>
    <w:rsid w:val="00706A38"/>
    <w:rPr>
      <w:color w:val="0563C1" w:themeColor="hyperlink"/>
      <w:u w:val="single"/>
    </w:rPr>
  </w:style>
  <w:style w:type="character" w:customStyle="1" w:styleId="UnresolvedMention1">
    <w:name w:val="Unresolved Mention1"/>
    <w:basedOn w:val="Standardstycketeckensnitt"/>
    <w:uiPriority w:val="99"/>
    <w:semiHidden/>
    <w:unhideWhenUsed/>
    <w:rsid w:val="00706A38"/>
    <w:rPr>
      <w:color w:val="605E5C"/>
      <w:shd w:val="clear" w:color="auto" w:fill="E1DFDD"/>
    </w:rPr>
  </w:style>
  <w:style w:type="paragraph" w:styleId="Ballongtext">
    <w:name w:val="Balloon Text"/>
    <w:basedOn w:val="Normal"/>
    <w:link w:val="BallongtextChar"/>
    <w:uiPriority w:val="99"/>
    <w:semiHidden/>
    <w:unhideWhenUsed/>
    <w:rsid w:val="00601FB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1FB9"/>
    <w:rPr>
      <w:rFonts w:ascii="Segoe UI" w:hAnsi="Segoe UI" w:cs="Segoe UI"/>
      <w:sz w:val="18"/>
      <w:szCs w:val="18"/>
    </w:rPr>
  </w:style>
  <w:style w:type="character" w:styleId="AnvndHyperlnk">
    <w:name w:val="FollowedHyperlink"/>
    <w:basedOn w:val="Standardstycketeckensnitt"/>
    <w:uiPriority w:val="99"/>
    <w:semiHidden/>
    <w:unhideWhenUsed/>
    <w:rsid w:val="00862AB5"/>
    <w:rPr>
      <w:color w:val="954F72" w:themeColor="followedHyperlink"/>
      <w:u w:val="single"/>
    </w:rPr>
  </w:style>
  <w:style w:type="table" w:styleId="Tabellrutnt">
    <w:name w:val="Table Grid"/>
    <w:basedOn w:val="Normaltabell"/>
    <w:uiPriority w:val="39"/>
    <w:rsid w:val="00D81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3E5BAE"/>
    <w:rPr>
      <w:sz w:val="16"/>
      <w:szCs w:val="16"/>
    </w:rPr>
  </w:style>
  <w:style w:type="paragraph" w:styleId="Kommentarer">
    <w:name w:val="annotation text"/>
    <w:basedOn w:val="Normal"/>
    <w:link w:val="KommentarerChar"/>
    <w:uiPriority w:val="99"/>
    <w:semiHidden/>
    <w:unhideWhenUsed/>
    <w:rsid w:val="003E5BAE"/>
    <w:pPr>
      <w:spacing w:line="240" w:lineRule="auto"/>
    </w:pPr>
    <w:rPr>
      <w:sz w:val="20"/>
      <w:szCs w:val="20"/>
    </w:rPr>
  </w:style>
  <w:style w:type="character" w:customStyle="1" w:styleId="KommentarerChar">
    <w:name w:val="Kommentarer Char"/>
    <w:basedOn w:val="Standardstycketeckensnitt"/>
    <w:link w:val="Kommentarer"/>
    <w:uiPriority w:val="99"/>
    <w:semiHidden/>
    <w:rsid w:val="003E5BAE"/>
    <w:rPr>
      <w:sz w:val="20"/>
      <w:szCs w:val="20"/>
    </w:rPr>
  </w:style>
  <w:style w:type="paragraph" w:styleId="Kommentarsmne">
    <w:name w:val="annotation subject"/>
    <w:basedOn w:val="Kommentarer"/>
    <w:next w:val="Kommentarer"/>
    <w:link w:val="KommentarsmneChar"/>
    <w:uiPriority w:val="99"/>
    <w:semiHidden/>
    <w:unhideWhenUsed/>
    <w:rsid w:val="003E5BAE"/>
    <w:rPr>
      <w:b/>
      <w:bCs/>
    </w:rPr>
  </w:style>
  <w:style w:type="character" w:customStyle="1" w:styleId="KommentarsmneChar">
    <w:name w:val="Kommentarsämne Char"/>
    <w:basedOn w:val="KommentarerChar"/>
    <w:link w:val="Kommentarsmne"/>
    <w:uiPriority w:val="99"/>
    <w:semiHidden/>
    <w:rsid w:val="003E5BAE"/>
    <w:rPr>
      <w:b/>
      <w:bCs/>
      <w:sz w:val="20"/>
      <w:szCs w:val="20"/>
    </w:rPr>
  </w:style>
  <w:style w:type="paragraph" w:customStyle="1" w:styleId="Default">
    <w:name w:val="Default"/>
    <w:rsid w:val="00716D68"/>
    <w:pPr>
      <w:autoSpaceDE w:val="0"/>
      <w:autoSpaceDN w:val="0"/>
      <w:adjustRightInd w:val="0"/>
      <w:spacing w:after="0" w:line="240" w:lineRule="auto"/>
    </w:pPr>
    <w:rPr>
      <w:rFonts w:ascii="Calibri" w:hAnsi="Calibri" w:cs="Calibri"/>
      <w:color w:val="000000"/>
      <w:sz w:val="24"/>
      <w:szCs w:val="24"/>
      <w:lang w:val="fi-FI"/>
    </w:rPr>
  </w:style>
  <w:style w:type="character" w:customStyle="1" w:styleId="hgkelc">
    <w:name w:val="hgkelc"/>
    <w:basedOn w:val="Standardstycketeckensnitt"/>
    <w:rsid w:val="0056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nbsi.e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01BEC2C4CCA1049B970338C42DC14A4" ma:contentTypeVersion="13" ma:contentTypeDescription="Skapa ett nytt dokument." ma:contentTypeScope="" ma:versionID="604a2fad2d90e5097b40450468924cee">
  <xsd:schema xmlns:xsd="http://www.w3.org/2001/XMLSchema" xmlns:xs="http://www.w3.org/2001/XMLSchema" xmlns:p="http://schemas.microsoft.com/office/2006/metadata/properties" xmlns:ns2="2eb4161a-9ee8-4d40-89bf-b2956fd5217b" xmlns:ns3="f56b678c-0161-4129-b811-5b92b659be58" targetNamespace="http://schemas.microsoft.com/office/2006/metadata/properties" ma:root="true" ma:fieldsID="78e25286743a41f13f9483f05a889009" ns2:_="" ns3:_="">
    <xsd:import namespace="2eb4161a-9ee8-4d40-89bf-b2956fd5217b"/>
    <xsd:import namespace="f56b678c-0161-4129-b811-5b92b659be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161a-9ee8-4d40-89bf-b2956fd52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678c-0161-4129-b811-5b92b659be58"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6678E-3A76-4617-BB1A-AFC686A3B2B9}">
  <ds:schemaRefs>
    <ds:schemaRef ds:uri="http://schemas.openxmlformats.org/officeDocument/2006/bibliography"/>
  </ds:schemaRefs>
</ds:datastoreItem>
</file>

<file path=customXml/itemProps2.xml><?xml version="1.0" encoding="utf-8"?>
<ds:datastoreItem xmlns:ds="http://schemas.openxmlformats.org/officeDocument/2006/customXml" ds:itemID="{F13183F2-A92F-4308-90C4-BA3DC3164B29}"/>
</file>

<file path=customXml/itemProps3.xml><?xml version="1.0" encoding="utf-8"?>
<ds:datastoreItem xmlns:ds="http://schemas.openxmlformats.org/officeDocument/2006/customXml" ds:itemID="{841E81F3-CA8B-44BF-A695-104FA8890169}"/>
</file>

<file path=customXml/itemProps4.xml><?xml version="1.0" encoding="utf-8"?>
<ds:datastoreItem xmlns:ds="http://schemas.openxmlformats.org/officeDocument/2006/customXml" ds:itemID="{C8B19606-96BD-4072-80AD-F2BEC10CB693}"/>
</file>

<file path=docProps/app.xml><?xml version="1.0" encoding="utf-8"?>
<Properties xmlns="http://schemas.openxmlformats.org/officeDocument/2006/extended-properties" xmlns:vt="http://schemas.openxmlformats.org/officeDocument/2006/docPropsVTypes">
  <Template>Normal</Template>
  <TotalTime>0</TotalTime>
  <Pages>5</Pages>
  <Words>2337</Words>
  <Characters>12387</Characters>
  <Application>Microsoft Office Word</Application>
  <DocSecurity>0</DocSecurity>
  <Lines>103</Lines>
  <Paragraphs>29</Paragraphs>
  <ScaleCrop>false</ScaleCrop>
  <HeadingPairs>
    <vt:vector size="6" baseType="variant">
      <vt:variant>
        <vt:lpstr>Title</vt:lpstr>
      </vt:variant>
      <vt:variant>
        <vt:i4>1</vt:i4>
      </vt:variant>
      <vt:variant>
        <vt:lpstr>Otsikko</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 van den Bosch</dc:creator>
  <cp:keywords/>
  <dc:description/>
  <cp:lastModifiedBy>Wadman, Hannah</cp:lastModifiedBy>
  <cp:revision>2</cp:revision>
  <dcterms:created xsi:type="dcterms:W3CDTF">2021-11-03T15:20:00Z</dcterms:created>
  <dcterms:modified xsi:type="dcterms:W3CDTF">2021-11-03T15:20:00Z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0x010100701BEC2C4CCA1049B970338C42DC14A4</vt:lpwstr>
  </property>
</Properties>
</file>